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C5BBD" w14:textId="741D91F7" w:rsidR="009444B1" w:rsidRDefault="009444B1" w:rsidP="00F66988">
      <w:pPr>
        <w:spacing w:after="240"/>
        <w:jc w:val="center"/>
        <w:rPr>
          <w:rFonts w:ascii="Arial" w:hAnsi="Arial" w:cs="Arial"/>
          <w:b/>
          <w:bCs/>
          <w:sz w:val="24"/>
          <w:szCs w:val="24"/>
        </w:rPr>
      </w:pPr>
      <w:r>
        <w:rPr>
          <w:rFonts w:ascii="Arial" w:hAnsi="Arial" w:cs="Arial"/>
          <w:b/>
          <w:bCs/>
          <w:sz w:val="24"/>
          <w:szCs w:val="24"/>
        </w:rPr>
        <w:t>RESOLUTION NO. 2022-</w:t>
      </w:r>
      <w:r w:rsidR="00372EB2">
        <w:rPr>
          <w:rFonts w:ascii="Arial" w:hAnsi="Arial" w:cs="Arial"/>
          <w:b/>
          <w:bCs/>
          <w:sz w:val="24"/>
          <w:szCs w:val="24"/>
        </w:rPr>
        <w:t>XX</w:t>
      </w:r>
    </w:p>
    <w:p w14:paraId="1B0AB7EB" w14:textId="4A2A7E21" w:rsidR="009444B1" w:rsidRDefault="00C16BBE" w:rsidP="00F66988">
      <w:pPr>
        <w:spacing w:after="240"/>
        <w:ind w:left="720" w:right="720"/>
        <w:jc w:val="both"/>
        <w:rPr>
          <w:rFonts w:ascii="Arial" w:hAnsi="Arial" w:cs="Arial"/>
          <w:b/>
          <w:bCs/>
          <w:sz w:val="24"/>
          <w:szCs w:val="24"/>
        </w:rPr>
      </w:pPr>
      <w:r w:rsidRPr="00C16BBE">
        <w:rPr>
          <w:rFonts w:ascii="Arial" w:hAnsi="Arial" w:cs="Arial"/>
          <w:b/>
          <w:bCs/>
          <w:sz w:val="24"/>
          <w:szCs w:val="24"/>
        </w:rPr>
        <w:t xml:space="preserve">A RESOLUTION OF THE CITY COUNCIL OF THE CITY OF MORENO VALLEY </w:t>
      </w:r>
      <w:r w:rsidR="002D377A">
        <w:rPr>
          <w:rFonts w:ascii="Arial" w:hAnsi="Arial" w:cs="Arial"/>
          <w:b/>
          <w:bCs/>
          <w:sz w:val="24"/>
          <w:szCs w:val="24"/>
        </w:rPr>
        <w:t xml:space="preserve">MEMORIALIZING THE REAFFIRMATION OF ITS </w:t>
      </w:r>
      <w:r w:rsidRPr="00C16BBE">
        <w:rPr>
          <w:rFonts w:ascii="Arial" w:hAnsi="Arial" w:cs="Arial"/>
          <w:b/>
          <w:bCs/>
          <w:sz w:val="24"/>
          <w:szCs w:val="24"/>
        </w:rPr>
        <w:t>FINDING</w:t>
      </w:r>
      <w:r w:rsidR="002D377A">
        <w:rPr>
          <w:rFonts w:ascii="Arial" w:hAnsi="Arial" w:cs="Arial"/>
          <w:b/>
          <w:bCs/>
          <w:sz w:val="24"/>
          <w:szCs w:val="24"/>
        </w:rPr>
        <w:t>S</w:t>
      </w:r>
      <w:r w:rsidRPr="00C16BBE">
        <w:rPr>
          <w:rFonts w:ascii="Arial" w:hAnsi="Arial" w:cs="Arial"/>
          <w:b/>
          <w:bCs/>
          <w:sz w:val="24"/>
          <w:szCs w:val="24"/>
        </w:rPr>
        <w:t xml:space="preserve"> AND DETERMIN</w:t>
      </w:r>
      <w:r w:rsidR="002D377A">
        <w:rPr>
          <w:rFonts w:ascii="Arial" w:hAnsi="Arial" w:cs="Arial"/>
          <w:b/>
          <w:bCs/>
          <w:sz w:val="24"/>
          <w:szCs w:val="24"/>
        </w:rPr>
        <w:t>ATION</w:t>
      </w:r>
      <w:r w:rsidR="00EA08B9">
        <w:rPr>
          <w:rFonts w:ascii="Arial" w:hAnsi="Arial" w:cs="Arial"/>
          <w:b/>
          <w:bCs/>
          <w:sz w:val="24"/>
          <w:szCs w:val="24"/>
        </w:rPr>
        <w:t xml:space="preserve"> </w:t>
      </w:r>
      <w:r w:rsidRPr="00C16BBE">
        <w:rPr>
          <w:rFonts w:ascii="Arial" w:hAnsi="Arial" w:cs="Arial"/>
          <w:b/>
          <w:bCs/>
          <w:sz w:val="24"/>
          <w:szCs w:val="24"/>
        </w:rPr>
        <w:t xml:space="preserve">THAT THE EXISTING USES ON THE SITES IDENTIFIED IN THE HOUSING ELEMENT’S SITE INVENTORY TO ACCOMMODATE THE LOWER INCOME RHNA DO NOT CONSTITUTE AN IMPEDIMENT TO ADDITIONAL RESIDENTIAL DEVELOPMENT DURING THE </w:t>
      </w:r>
      <w:r w:rsidR="002E3F49">
        <w:rPr>
          <w:rFonts w:ascii="Arial" w:hAnsi="Arial" w:cs="Arial"/>
          <w:b/>
          <w:bCs/>
          <w:sz w:val="24"/>
          <w:szCs w:val="24"/>
        </w:rPr>
        <w:t xml:space="preserve">2021-2029 </w:t>
      </w:r>
      <w:r>
        <w:rPr>
          <w:rFonts w:ascii="Arial" w:hAnsi="Arial" w:cs="Arial"/>
          <w:b/>
          <w:bCs/>
          <w:sz w:val="24"/>
          <w:szCs w:val="24"/>
        </w:rPr>
        <w:t xml:space="preserve">PLANNING </w:t>
      </w:r>
      <w:r w:rsidRPr="00C16BBE">
        <w:rPr>
          <w:rFonts w:ascii="Arial" w:hAnsi="Arial" w:cs="Arial"/>
          <w:b/>
          <w:bCs/>
          <w:sz w:val="24"/>
          <w:szCs w:val="24"/>
        </w:rPr>
        <w:t>PERIOD COVERED BY THE</w:t>
      </w:r>
      <w:r w:rsidR="002E3F49">
        <w:rPr>
          <w:rFonts w:ascii="Arial" w:hAnsi="Arial" w:cs="Arial"/>
          <w:b/>
          <w:bCs/>
          <w:sz w:val="24"/>
          <w:szCs w:val="24"/>
        </w:rPr>
        <w:t xml:space="preserve"> </w:t>
      </w:r>
      <w:r w:rsidR="001F3A5C">
        <w:rPr>
          <w:rFonts w:ascii="Arial" w:hAnsi="Arial" w:cs="Arial"/>
          <w:b/>
          <w:bCs/>
          <w:sz w:val="24"/>
          <w:szCs w:val="24"/>
        </w:rPr>
        <w:t xml:space="preserve">CITY OF MORENO VALLEY </w:t>
      </w:r>
      <w:r w:rsidRPr="00C16BBE">
        <w:rPr>
          <w:rFonts w:ascii="Arial" w:hAnsi="Arial" w:cs="Arial"/>
          <w:b/>
          <w:bCs/>
          <w:sz w:val="24"/>
          <w:szCs w:val="24"/>
        </w:rPr>
        <w:t>HOUSING ELEMENT</w:t>
      </w:r>
    </w:p>
    <w:p w14:paraId="7B3EA80C" w14:textId="137CD227" w:rsidR="005B29D2" w:rsidRPr="005B29D2" w:rsidRDefault="005B29D2" w:rsidP="00F66988">
      <w:pPr>
        <w:spacing w:after="240"/>
        <w:ind w:firstLine="720"/>
        <w:jc w:val="both"/>
        <w:rPr>
          <w:rFonts w:ascii="Arial" w:hAnsi="Arial" w:cs="Arial"/>
          <w:sz w:val="24"/>
          <w:szCs w:val="24"/>
        </w:rPr>
      </w:pPr>
      <w:r w:rsidRPr="00853BB1">
        <w:rPr>
          <w:rFonts w:ascii="Arial" w:hAnsi="Arial" w:cs="Arial"/>
          <w:b/>
          <w:bCs/>
          <w:sz w:val="24"/>
          <w:szCs w:val="24"/>
        </w:rPr>
        <w:t>WHEREAS</w:t>
      </w:r>
      <w:r w:rsidRPr="00853BB1">
        <w:rPr>
          <w:rFonts w:ascii="Arial" w:hAnsi="Arial" w:cs="Arial"/>
          <w:sz w:val="24"/>
          <w:szCs w:val="24"/>
        </w:rPr>
        <w:t xml:space="preserve">, on </w:t>
      </w:r>
      <w:r w:rsidR="00A15C47">
        <w:rPr>
          <w:rFonts w:ascii="Arial" w:hAnsi="Arial" w:cs="Arial"/>
          <w:sz w:val="24"/>
          <w:szCs w:val="24"/>
        </w:rPr>
        <w:t>July 15</w:t>
      </w:r>
      <w:r w:rsidRPr="00853BB1">
        <w:rPr>
          <w:rFonts w:ascii="Arial" w:hAnsi="Arial" w:cs="Arial"/>
          <w:sz w:val="24"/>
          <w:szCs w:val="24"/>
        </w:rPr>
        <w:t xml:space="preserve">, 2021, the </w:t>
      </w:r>
      <w:r w:rsidR="008C010A">
        <w:rPr>
          <w:rFonts w:ascii="Arial" w:hAnsi="Arial" w:cs="Arial"/>
          <w:sz w:val="24"/>
          <w:szCs w:val="24"/>
        </w:rPr>
        <w:t xml:space="preserve">Moreno Valley </w:t>
      </w:r>
      <w:r w:rsidRPr="00853BB1">
        <w:rPr>
          <w:rFonts w:ascii="Arial" w:hAnsi="Arial" w:cs="Arial"/>
          <w:sz w:val="24"/>
          <w:szCs w:val="24"/>
        </w:rPr>
        <w:t xml:space="preserve">City Council </w:t>
      </w:r>
      <w:r w:rsidR="008C010A">
        <w:rPr>
          <w:rFonts w:ascii="Arial" w:hAnsi="Arial" w:cs="Arial"/>
          <w:sz w:val="24"/>
          <w:szCs w:val="24"/>
        </w:rPr>
        <w:t xml:space="preserve">(“City Council”) </w:t>
      </w:r>
      <w:r w:rsidRPr="00853BB1">
        <w:rPr>
          <w:rFonts w:ascii="Arial" w:hAnsi="Arial" w:cs="Arial"/>
          <w:sz w:val="24"/>
          <w:szCs w:val="24"/>
        </w:rPr>
        <w:t>adopted Resolution No. 2021-</w:t>
      </w:r>
      <w:r w:rsidR="001E6871">
        <w:rPr>
          <w:rFonts w:ascii="Arial" w:hAnsi="Arial" w:cs="Arial"/>
          <w:sz w:val="24"/>
          <w:szCs w:val="24"/>
        </w:rPr>
        <w:t>47</w:t>
      </w:r>
      <w:r w:rsidRPr="00853BB1">
        <w:rPr>
          <w:rFonts w:ascii="Arial" w:hAnsi="Arial" w:cs="Arial"/>
          <w:sz w:val="24"/>
          <w:szCs w:val="24"/>
        </w:rPr>
        <w:t xml:space="preserve"> approving MOVAL 2040 General Plan Amendment (PEN 19-0240), </w:t>
      </w:r>
      <w:r w:rsidR="00C16BBE" w:rsidRPr="00853BB1">
        <w:rPr>
          <w:rFonts w:ascii="Arial" w:hAnsi="Arial" w:cs="Arial"/>
          <w:sz w:val="24"/>
          <w:szCs w:val="24"/>
        </w:rPr>
        <w:t xml:space="preserve">which included the </w:t>
      </w:r>
      <w:r w:rsidR="002E3F49">
        <w:rPr>
          <w:rFonts w:ascii="Arial" w:hAnsi="Arial" w:cs="Arial"/>
          <w:sz w:val="24"/>
          <w:szCs w:val="24"/>
        </w:rPr>
        <w:t xml:space="preserve">approval of </w:t>
      </w:r>
      <w:r w:rsidR="00853BB1" w:rsidRPr="00853BB1">
        <w:rPr>
          <w:rFonts w:ascii="Arial" w:hAnsi="Arial" w:cs="Arial"/>
          <w:sz w:val="24"/>
          <w:szCs w:val="24"/>
        </w:rPr>
        <w:t>City of Moreno Valley Housing Element 2021-2029</w:t>
      </w:r>
      <w:r w:rsidR="002E3F49">
        <w:rPr>
          <w:rFonts w:ascii="Arial" w:hAnsi="Arial" w:cs="Arial"/>
          <w:sz w:val="24"/>
          <w:szCs w:val="24"/>
        </w:rPr>
        <w:t xml:space="preserve"> (“Moreno Valley Housing Element”)</w:t>
      </w:r>
      <w:r w:rsidR="00853BB1">
        <w:rPr>
          <w:rFonts w:ascii="Arial" w:hAnsi="Arial" w:cs="Arial"/>
          <w:sz w:val="24"/>
          <w:szCs w:val="24"/>
        </w:rPr>
        <w:t xml:space="preserve">; and </w:t>
      </w:r>
    </w:p>
    <w:p w14:paraId="7BC13E24" w14:textId="2C14CC96" w:rsidR="005B29D2" w:rsidRPr="0052747F" w:rsidRDefault="00C2199D" w:rsidP="00F66988">
      <w:pPr>
        <w:spacing w:after="240"/>
        <w:ind w:firstLine="720"/>
        <w:jc w:val="both"/>
        <w:rPr>
          <w:rFonts w:ascii="Arial" w:hAnsi="Arial" w:cs="Arial"/>
          <w:sz w:val="24"/>
          <w:szCs w:val="24"/>
        </w:rPr>
      </w:pPr>
      <w:bookmarkStart w:id="0" w:name="_Hlk115176111"/>
      <w:r w:rsidRPr="0052747F">
        <w:rPr>
          <w:rFonts w:ascii="Arial" w:hAnsi="Arial" w:cs="Arial"/>
          <w:b/>
          <w:bCs/>
          <w:sz w:val="24"/>
          <w:szCs w:val="24"/>
        </w:rPr>
        <w:t>WHEREAS</w:t>
      </w:r>
      <w:r w:rsidRPr="0052747F">
        <w:rPr>
          <w:rFonts w:ascii="Arial" w:hAnsi="Arial" w:cs="Arial"/>
          <w:sz w:val="24"/>
          <w:szCs w:val="24"/>
        </w:rPr>
        <w:t>,</w:t>
      </w:r>
      <w:r w:rsidR="005B29D2" w:rsidRPr="0052747F">
        <w:rPr>
          <w:rFonts w:ascii="Arial" w:hAnsi="Arial" w:cs="Arial"/>
          <w:sz w:val="24"/>
          <w:szCs w:val="24"/>
        </w:rPr>
        <w:t xml:space="preserve"> </w:t>
      </w:r>
      <w:bookmarkEnd w:id="0"/>
      <w:r w:rsidR="005B29D2" w:rsidRPr="0052747F">
        <w:rPr>
          <w:rFonts w:ascii="Arial" w:hAnsi="Arial" w:cs="Arial"/>
          <w:sz w:val="24"/>
          <w:szCs w:val="24"/>
        </w:rPr>
        <w:t>Section 5 “Recommendation” of Resolution No. 2021-</w:t>
      </w:r>
      <w:r w:rsidR="001E6871">
        <w:rPr>
          <w:rFonts w:ascii="Arial" w:hAnsi="Arial" w:cs="Arial"/>
          <w:sz w:val="24"/>
          <w:szCs w:val="24"/>
        </w:rPr>
        <w:t>47</w:t>
      </w:r>
      <w:r w:rsidR="005B29D2" w:rsidRPr="0052747F">
        <w:rPr>
          <w:rFonts w:ascii="Arial" w:hAnsi="Arial" w:cs="Arial"/>
          <w:sz w:val="24"/>
          <w:szCs w:val="24"/>
        </w:rPr>
        <w:t xml:space="preserve"> authorize</w:t>
      </w:r>
      <w:r w:rsidR="00853BB1" w:rsidRPr="0052747F">
        <w:rPr>
          <w:rFonts w:ascii="Arial" w:hAnsi="Arial" w:cs="Arial"/>
          <w:sz w:val="24"/>
          <w:szCs w:val="24"/>
        </w:rPr>
        <w:t>d</w:t>
      </w:r>
      <w:r w:rsidR="005B29D2" w:rsidRPr="0052747F">
        <w:rPr>
          <w:rFonts w:ascii="Arial" w:hAnsi="Arial" w:cs="Arial"/>
          <w:sz w:val="24"/>
          <w:szCs w:val="24"/>
        </w:rPr>
        <w:t xml:space="preserve"> the Community Development Director to make minor changes to the General Plan Update (PEN19-0240)</w:t>
      </w:r>
      <w:r w:rsidR="00853BB1" w:rsidRPr="0052747F">
        <w:rPr>
          <w:rFonts w:ascii="Arial" w:hAnsi="Arial" w:cs="Arial"/>
          <w:sz w:val="24"/>
          <w:szCs w:val="24"/>
        </w:rPr>
        <w:t>, which included the Moreno Valley Housing Element</w:t>
      </w:r>
      <w:r w:rsidR="002E3F49" w:rsidRPr="0052747F">
        <w:rPr>
          <w:rFonts w:ascii="Arial" w:hAnsi="Arial" w:cs="Arial"/>
          <w:sz w:val="24"/>
          <w:szCs w:val="24"/>
        </w:rPr>
        <w:t xml:space="preserve">, </w:t>
      </w:r>
      <w:r w:rsidR="005B29D2" w:rsidRPr="0052747F">
        <w:rPr>
          <w:rFonts w:ascii="Arial" w:hAnsi="Arial" w:cs="Arial"/>
          <w:sz w:val="24"/>
          <w:szCs w:val="24"/>
        </w:rPr>
        <w:t>and associated documents to ensure compliance with State regulations, comments, and directives prior to submitting to the State for acceptance, when applicable; and</w:t>
      </w:r>
    </w:p>
    <w:p w14:paraId="6D559819" w14:textId="1A45FB73" w:rsidR="0052747F" w:rsidRPr="0052747F" w:rsidRDefault="000171BA" w:rsidP="00F66988">
      <w:pPr>
        <w:spacing w:after="240"/>
        <w:ind w:firstLine="720"/>
        <w:jc w:val="both"/>
        <w:rPr>
          <w:rFonts w:ascii="Arial" w:hAnsi="Arial" w:cs="Arial"/>
          <w:sz w:val="24"/>
          <w:szCs w:val="24"/>
        </w:rPr>
      </w:pPr>
      <w:r w:rsidRPr="0052747F">
        <w:rPr>
          <w:rFonts w:ascii="Arial" w:hAnsi="Arial" w:cs="Arial"/>
          <w:b/>
          <w:bCs/>
          <w:sz w:val="24"/>
          <w:szCs w:val="24"/>
        </w:rPr>
        <w:t>WHEREAS</w:t>
      </w:r>
      <w:r w:rsidRPr="0052747F">
        <w:rPr>
          <w:rFonts w:ascii="Arial" w:hAnsi="Arial" w:cs="Arial"/>
          <w:sz w:val="24"/>
          <w:szCs w:val="24"/>
        </w:rPr>
        <w:t xml:space="preserve">, </w:t>
      </w:r>
      <w:r>
        <w:rPr>
          <w:rFonts w:ascii="Arial" w:hAnsi="Arial" w:cs="Arial"/>
          <w:sz w:val="24"/>
          <w:szCs w:val="24"/>
        </w:rPr>
        <w:t xml:space="preserve">the Moreno Valley Housing Element includes, as Appendix A, the </w:t>
      </w:r>
      <w:r w:rsidR="0052747F" w:rsidRPr="0052747F">
        <w:rPr>
          <w:rFonts w:ascii="Arial" w:hAnsi="Arial" w:cs="Arial"/>
          <w:sz w:val="24"/>
          <w:szCs w:val="24"/>
        </w:rPr>
        <w:t xml:space="preserve">2021-29 </w:t>
      </w:r>
      <w:r w:rsidRPr="0052747F">
        <w:rPr>
          <w:rFonts w:ascii="Arial" w:hAnsi="Arial" w:cs="Arial"/>
          <w:sz w:val="24"/>
          <w:szCs w:val="24"/>
        </w:rPr>
        <w:t>Moreno Valley Housing Sites Inventory</w:t>
      </w:r>
      <w:r>
        <w:rPr>
          <w:rFonts w:ascii="Arial" w:hAnsi="Arial" w:cs="Arial"/>
          <w:sz w:val="24"/>
          <w:szCs w:val="24"/>
        </w:rPr>
        <w:t xml:space="preserve">, which is a </w:t>
      </w:r>
      <w:r w:rsidR="0052747F" w:rsidRPr="0052747F">
        <w:rPr>
          <w:rFonts w:ascii="Arial" w:hAnsi="Arial" w:cs="Arial"/>
          <w:sz w:val="24"/>
          <w:szCs w:val="24"/>
        </w:rPr>
        <w:t xml:space="preserve">critical </w:t>
      </w:r>
      <w:r w:rsidR="007E0B06">
        <w:rPr>
          <w:rFonts w:ascii="Arial" w:hAnsi="Arial" w:cs="Arial"/>
          <w:sz w:val="24"/>
          <w:szCs w:val="24"/>
        </w:rPr>
        <w:t xml:space="preserve">component </w:t>
      </w:r>
      <w:r w:rsidR="0052747F" w:rsidRPr="0052747F">
        <w:rPr>
          <w:rFonts w:ascii="Arial" w:hAnsi="Arial" w:cs="Arial"/>
          <w:sz w:val="24"/>
          <w:szCs w:val="24"/>
        </w:rPr>
        <w:t xml:space="preserve">of the </w:t>
      </w:r>
      <w:r>
        <w:rPr>
          <w:rFonts w:ascii="Arial" w:hAnsi="Arial" w:cs="Arial"/>
          <w:sz w:val="24"/>
          <w:szCs w:val="24"/>
        </w:rPr>
        <w:t xml:space="preserve">Moreno Valley </w:t>
      </w:r>
      <w:r w:rsidR="0052747F" w:rsidRPr="0052747F">
        <w:rPr>
          <w:rFonts w:ascii="Arial" w:hAnsi="Arial" w:cs="Arial"/>
          <w:sz w:val="24"/>
          <w:szCs w:val="24"/>
        </w:rPr>
        <w:t>Housing Element i</w:t>
      </w:r>
      <w:r>
        <w:rPr>
          <w:rFonts w:ascii="Arial" w:hAnsi="Arial" w:cs="Arial"/>
          <w:sz w:val="24"/>
          <w:szCs w:val="24"/>
        </w:rPr>
        <w:t>n that it includes</w:t>
      </w:r>
      <w:r w:rsidR="00D4770E">
        <w:rPr>
          <w:rFonts w:ascii="Arial" w:hAnsi="Arial" w:cs="Arial"/>
          <w:sz w:val="24"/>
          <w:szCs w:val="24"/>
        </w:rPr>
        <w:t>: (</w:t>
      </w:r>
      <w:proofErr w:type="spellStart"/>
      <w:r w:rsidR="00D4770E">
        <w:rPr>
          <w:rFonts w:ascii="Arial" w:hAnsi="Arial" w:cs="Arial"/>
          <w:sz w:val="24"/>
          <w:szCs w:val="24"/>
        </w:rPr>
        <w:t>i</w:t>
      </w:r>
      <w:proofErr w:type="spellEnd"/>
      <w:r w:rsidR="00D4770E">
        <w:rPr>
          <w:rFonts w:ascii="Arial" w:hAnsi="Arial" w:cs="Arial"/>
          <w:sz w:val="24"/>
          <w:szCs w:val="24"/>
        </w:rPr>
        <w:t>)</w:t>
      </w:r>
      <w:r w:rsidR="00F66988">
        <w:rPr>
          <w:rFonts w:ascii="Arial" w:hAnsi="Arial" w:cs="Arial"/>
          <w:sz w:val="24"/>
          <w:szCs w:val="24"/>
        </w:rPr>
        <w:t xml:space="preserve"> </w:t>
      </w:r>
      <w:r>
        <w:rPr>
          <w:rFonts w:ascii="Arial" w:hAnsi="Arial" w:cs="Arial"/>
          <w:sz w:val="24"/>
          <w:szCs w:val="24"/>
        </w:rPr>
        <w:t xml:space="preserve">an </w:t>
      </w:r>
      <w:r w:rsidR="0052747F" w:rsidRPr="0052747F">
        <w:rPr>
          <w:rFonts w:ascii="Arial" w:hAnsi="Arial" w:cs="Arial"/>
          <w:sz w:val="24"/>
          <w:szCs w:val="24"/>
        </w:rPr>
        <w:t>inventory of housing opportunity sites</w:t>
      </w:r>
      <w:r w:rsidR="00D4770E">
        <w:rPr>
          <w:rFonts w:ascii="Arial" w:hAnsi="Arial" w:cs="Arial"/>
          <w:sz w:val="24"/>
          <w:szCs w:val="24"/>
        </w:rPr>
        <w:t>; (ii)</w:t>
      </w:r>
      <w:r w:rsidR="00F66988">
        <w:rPr>
          <w:rFonts w:ascii="Arial" w:hAnsi="Arial" w:cs="Arial"/>
          <w:sz w:val="24"/>
          <w:szCs w:val="24"/>
        </w:rPr>
        <w:t xml:space="preserve"> </w:t>
      </w:r>
      <w:r w:rsidR="0052747F" w:rsidRPr="0052747F">
        <w:rPr>
          <w:rFonts w:ascii="Arial" w:hAnsi="Arial" w:cs="Arial"/>
          <w:sz w:val="24"/>
          <w:szCs w:val="24"/>
        </w:rPr>
        <w:t xml:space="preserve">an analysis of the capacity of those sites to accommodate the City’s </w:t>
      </w:r>
      <w:r w:rsidR="00D4770E" w:rsidRPr="0052747F">
        <w:rPr>
          <w:rFonts w:ascii="Arial" w:hAnsi="Arial" w:cs="Arial"/>
          <w:sz w:val="24"/>
          <w:szCs w:val="24"/>
        </w:rPr>
        <w:t xml:space="preserve">Regional Housing Needs Assessment </w:t>
      </w:r>
      <w:r w:rsidR="00D4770E">
        <w:rPr>
          <w:rFonts w:ascii="Arial" w:hAnsi="Arial" w:cs="Arial"/>
          <w:sz w:val="24"/>
          <w:szCs w:val="24"/>
        </w:rPr>
        <w:t>(“</w:t>
      </w:r>
      <w:r w:rsidR="0052747F" w:rsidRPr="0052747F">
        <w:rPr>
          <w:rFonts w:ascii="Arial" w:hAnsi="Arial" w:cs="Arial"/>
          <w:sz w:val="24"/>
          <w:szCs w:val="24"/>
        </w:rPr>
        <w:t>RHNA</w:t>
      </w:r>
      <w:r w:rsidR="00D4770E">
        <w:rPr>
          <w:rFonts w:ascii="Arial" w:hAnsi="Arial" w:cs="Arial"/>
          <w:sz w:val="24"/>
          <w:szCs w:val="24"/>
        </w:rPr>
        <w:t>”)</w:t>
      </w:r>
      <w:r w:rsidR="0052747F" w:rsidRPr="0052747F">
        <w:rPr>
          <w:rFonts w:ascii="Arial" w:hAnsi="Arial" w:cs="Arial"/>
          <w:sz w:val="24"/>
          <w:szCs w:val="24"/>
        </w:rPr>
        <w:t xml:space="preserve"> allocation as determined by the Southern California Association of Governments (SCAG)</w:t>
      </w:r>
      <w:r w:rsidR="00D4770E">
        <w:rPr>
          <w:rFonts w:ascii="Arial" w:hAnsi="Arial" w:cs="Arial"/>
          <w:sz w:val="24"/>
          <w:szCs w:val="24"/>
        </w:rPr>
        <w:t xml:space="preserve">; </w:t>
      </w:r>
      <w:r>
        <w:rPr>
          <w:rFonts w:ascii="Arial" w:hAnsi="Arial" w:cs="Arial"/>
          <w:sz w:val="24"/>
          <w:szCs w:val="24"/>
        </w:rPr>
        <w:t xml:space="preserve">and </w:t>
      </w:r>
      <w:r w:rsidR="00D4770E">
        <w:rPr>
          <w:rFonts w:ascii="Arial" w:hAnsi="Arial" w:cs="Arial"/>
          <w:sz w:val="24"/>
          <w:szCs w:val="24"/>
        </w:rPr>
        <w:t xml:space="preserve">(iii) </w:t>
      </w:r>
      <w:r w:rsidR="0052747F" w:rsidRPr="0052747F">
        <w:rPr>
          <w:rFonts w:ascii="Arial" w:hAnsi="Arial" w:cs="Arial"/>
          <w:sz w:val="24"/>
          <w:szCs w:val="24"/>
        </w:rPr>
        <w:t>a map showing the location and spatial distribution of sites throughout the community</w:t>
      </w:r>
      <w:r w:rsidR="00A15C47">
        <w:rPr>
          <w:rFonts w:ascii="Arial" w:hAnsi="Arial" w:cs="Arial"/>
          <w:sz w:val="24"/>
          <w:szCs w:val="24"/>
        </w:rPr>
        <w:t>; and</w:t>
      </w:r>
    </w:p>
    <w:p w14:paraId="49B570FB" w14:textId="18CC81D1" w:rsidR="00853BB1" w:rsidRPr="0052747F" w:rsidRDefault="00853BB1" w:rsidP="00F66988">
      <w:pPr>
        <w:spacing w:after="240"/>
        <w:ind w:firstLine="720"/>
        <w:jc w:val="both"/>
        <w:rPr>
          <w:rFonts w:ascii="Arial" w:hAnsi="Arial" w:cs="Arial"/>
          <w:sz w:val="24"/>
          <w:szCs w:val="24"/>
        </w:rPr>
      </w:pPr>
      <w:r w:rsidRPr="0052747F">
        <w:rPr>
          <w:rFonts w:ascii="Arial" w:hAnsi="Arial" w:cs="Arial"/>
          <w:b/>
          <w:bCs/>
          <w:sz w:val="24"/>
          <w:szCs w:val="24"/>
        </w:rPr>
        <w:t>WHEREAS</w:t>
      </w:r>
      <w:r w:rsidRPr="0052747F">
        <w:rPr>
          <w:rFonts w:ascii="Arial" w:hAnsi="Arial" w:cs="Arial"/>
          <w:sz w:val="24"/>
          <w:szCs w:val="24"/>
        </w:rPr>
        <w:t>, the Moreno Valley Housing Element</w:t>
      </w:r>
      <w:r w:rsidR="002E3F49" w:rsidRPr="0052747F">
        <w:rPr>
          <w:rFonts w:ascii="Arial" w:hAnsi="Arial" w:cs="Arial"/>
          <w:sz w:val="24"/>
          <w:szCs w:val="24"/>
        </w:rPr>
        <w:t>, as adopted by Resolution No. 2021-</w:t>
      </w:r>
      <w:r w:rsidR="001E6871">
        <w:rPr>
          <w:rFonts w:ascii="Arial" w:hAnsi="Arial" w:cs="Arial"/>
          <w:sz w:val="24"/>
          <w:szCs w:val="24"/>
        </w:rPr>
        <w:t>47</w:t>
      </w:r>
      <w:r w:rsidR="002E3F49" w:rsidRPr="0052747F">
        <w:rPr>
          <w:rFonts w:ascii="Arial" w:hAnsi="Arial" w:cs="Arial"/>
          <w:sz w:val="24"/>
          <w:szCs w:val="24"/>
        </w:rPr>
        <w:t xml:space="preserve">, </w:t>
      </w:r>
      <w:r w:rsidRPr="0052747F">
        <w:rPr>
          <w:rFonts w:ascii="Arial" w:hAnsi="Arial" w:cs="Arial"/>
          <w:sz w:val="24"/>
          <w:szCs w:val="24"/>
        </w:rPr>
        <w:t xml:space="preserve">relies in part on nonvacant sites to accommodate 50 percent or more of </w:t>
      </w:r>
      <w:r w:rsidR="002E3F49" w:rsidRPr="0052747F">
        <w:rPr>
          <w:rFonts w:ascii="Arial" w:hAnsi="Arial" w:cs="Arial"/>
          <w:sz w:val="24"/>
          <w:szCs w:val="24"/>
        </w:rPr>
        <w:t xml:space="preserve">the City’s </w:t>
      </w:r>
      <w:r w:rsidRPr="0052747F">
        <w:rPr>
          <w:rFonts w:ascii="Arial" w:hAnsi="Arial" w:cs="Arial"/>
          <w:sz w:val="24"/>
          <w:szCs w:val="24"/>
        </w:rPr>
        <w:t>RHNA for lower income households</w:t>
      </w:r>
      <w:r w:rsidR="001F3A5C" w:rsidRPr="0052747F">
        <w:rPr>
          <w:rFonts w:ascii="Arial" w:hAnsi="Arial" w:cs="Arial"/>
          <w:sz w:val="24"/>
          <w:szCs w:val="24"/>
        </w:rPr>
        <w:t xml:space="preserve"> during the </w:t>
      </w:r>
      <w:r w:rsidR="002E3F49" w:rsidRPr="0052747F">
        <w:rPr>
          <w:rFonts w:ascii="Arial" w:hAnsi="Arial" w:cs="Arial"/>
          <w:sz w:val="24"/>
          <w:szCs w:val="24"/>
        </w:rPr>
        <w:t xml:space="preserve">Moreno Valley </w:t>
      </w:r>
      <w:r w:rsidR="001F3A5C" w:rsidRPr="0052747F">
        <w:rPr>
          <w:rFonts w:ascii="Arial" w:hAnsi="Arial" w:cs="Arial"/>
          <w:sz w:val="24"/>
          <w:szCs w:val="24"/>
        </w:rPr>
        <w:t>Housing Element’s 2021-2029 planning period</w:t>
      </w:r>
      <w:r w:rsidRPr="0052747F">
        <w:rPr>
          <w:rFonts w:ascii="Arial" w:hAnsi="Arial" w:cs="Arial"/>
          <w:sz w:val="24"/>
          <w:szCs w:val="24"/>
        </w:rPr>
        <w:t xml:space="preserve">; and </w:t>
      </w:r>
    </w:p>
    <w:p w14:paraId="3E077EAC" w14:textId="328520AF" w:rsidR="001F3A5C" w:rsidRDefault="00C2199D" w:rsidP="00F66988">
      <w:pPr>
        <w:spacing w:after="240"/>
        <w:ind w:firstLine="720"/>
        <w:jc w:val="both"/>
        <w:rPr>
          <w:rFonts w:ascii="Arial" w:hAnsi="Arial" w:cs="Arial"/>
          <w:sz w:val="24"/>
          <w:szCs w:val="24"/>
        </w:rPr>
      </w:pPr>
      <w:r w:rsidRPr="009444B1">
        <w:rPr>
          <w:rFonts w:ascii="Arial" w:hAnsi="Arial" w:cs="Arial"/>
          <w:b/>
          <w:bCs/>
          <w:sz w:val="24"/>
          <w:szCs w:val="24"/>
        </w:rPr>
        <w:t>WHEREAS</w:t>
      </w:r>
      <w:r>
        <w:rPr>
          <w:rFonts w:ascii="Arial" w:hAnsi="Arial" w:cs="Arial"/>
          <w:sz w:val="24"/>
          <w:szCs w:val="24"/>
        </w:rPr>
        <w:t xml:space="preserve">, Government Code </w:t>
      </w:r>
      <w:r w:rsidR="009444B1">
        <w:rPr>
          <w:rFonts w:ascii="Arial" w:hAnsi="Arial" w:cs="Arial"/>
          <w:sz w:val="24"/>
          <w:szCs w:val="24"/>
        </w:rPr>
        <w:t>section</w:t>
      </w:r>
      <w:r w:rsidR="00D62E6A">
        <w:rPr>
          <w:rFonts w:ascii="Arial" w:hAnsi="Arial" w:cs="Arial"/>
          <w:sz w:val="24"/>
          <w:szCs w:val="24"/>
        </w:rPr>
        <w:t xml:space="preserve"> 65583.2 provides in part that </w:t>
      </w:r>
      <w:r w:rsidR="00853BB1">
        <w:rPr>
          <w:rFonts w:ascii="Arial" w:hAnsi="Arial" w:cs="Arial"/>
          <w:sz w:val="24"/>
          <w:szCs w:val="24"/>
        </w:rPr>
        <w:t xml:space="preserve">when </w:t>
      </w:r>
      <w:r w:rsidR="00D62E6A">
        <w:rPr>
          <w:rFonts w:ascii="Arial" w:hAnsi="Arial" w:cs="Arial"/>
          <w:sz w:val="24"/>
          <w:szCs w:val="24"/>
        </w:rPr>
        <w:t xml:space="preserve">a housing </w:t>
      </w:r>
      <w:r w:rsidR="009444B1">
        <w:rPr>
          <w:rFonts w:ascii="Arial" w:hAnsi="Arial" w:cs="Arial"/>
          <w:sz w:val="24"/>
          <w:szCs w:val="24"/>
        </w:rPr>
        <w:t>element</w:t>
      </w:r>
      <w:r w:rsidR="00D62E6A">
        <w:rPr>
          <w:rFonts w:ascii="Arial" w:hAnsi="Arial" w:cs="Arial"/>
          <w:sz w:val="24"/>
          <w:szCs w:val="24"/>
        </w:rPr>
        <w:t xml:space="preserve"> relies of </w:t>
      </w:r>
      <w:r w:rsidR="009444B1">
        <w:rPr>
          <w:rFonts w:ascii="Arial" w:hAnsi="Arial" w:cs="Arial"/>
          <w:sz w:val="24"/>
          <w:szCs w:val="24"/>
        </w:rPr>
        <w:t>nonvacant</w:t>
      </w:r>
      <w:r w:rsidR="00D62E6A">
        <w:rPr>
          <w:rFonts w:ascii="Arial" w:hAnsi="Arial" w:cs="Arial"/>
          <w:sz w:val="24"/>
          <w:szCs w:val="24"/>
        </w:rPr>
        <w:t xml:space="preserve"> sites to accommodate 50 percent </w:t>
      </w:r>
      <w:r w:rsidR="00853BB1">
        <w:rPr>
          <w:rFonts w:ascii="Arial" w:hAnsi="Arial" w:cs="Arial"/>
          <w:sz w:val="24"/>
          <w:szCs w:val="24"/>
        </w:rPr>
        <w:t>or</w:t>
      </w:r>
      <w:r w:rsidR="00D62E6A">
        <w:rPr>
          <w:rFonts w:ascii="Arial" w:hAnsi="Arial" w:cs="Arial"/>
          <w:sz w:val="24"/>
          <w:szCs w:val="24"/>
        </w:rPr>
        <w:t xml:space="preserve"> more of i</w:t>
      </w:r>
      <w:r w:rsidR="00853BB1">
        <w:rPr>
          <w:rFonts w:ascii="Arial" w:hAnsi="Arial" w:cs="Arial"/>
          <w:sz w:val="24"/>
          <w:szCs w:val="24"/>
        </w:rPr>
        <w:t>t</w:t>
      </w:r>
      <w:r w:rsidR="002E3F49">
        <w:rPr>
          <w:rFonts w:ascii="Arial" w:hAnsi="Arial" w:cs="Arial"/>
          <w:sz w:val="24"/>
          <w:szCs w:val="24"/>
        </w:rPr>
        <w:t>s</w:t>
      </w:r>
      <w:r w:rsidR="00D62E6A">
        <w:rPr>
          <w:rFonts w:ascii="Arial" w:hAnsi="Arial" w:cs="Arial"/>
          <w:sz w:val="24"/>
          <w:szCs w:val="24"/>
        </w:rPr>
        <w:t xml:space="preserve"> RHNA for lower </w:t>
      </w:r>
      <w:r w:rsidR="009444B1">
        <w:rPr>
          <w:rFonts w:ascii="Arial" w:hAnsi="Arial" w:cs="Arial"/>
          <w:sz w:val="24"/>
          <w:szCs w:val="24"/>
        </w:rPr>
        <w:t>income</w:t>
      </w:r>
      <w:r w:rsidR="00D62E6A">
        <w:rPr>
          <w:rFonts w:ascii="Arial" w:hAnsi="Arial" w:cs="Arial"/>
          <w:sz w:val="24"/>
          <w:szCs w:val="24"/>
        </w:rPr>
        <w:t xml:space="preserve"> </w:t>
      </w:r>
      <w:r w:rsidR="009444B1">
        <w:rPr>
          <w:rFonts w:ascii="Arial" w:hAnsi="Arial" w:cs="Arial"/>
          <w:sz w:val="24"/>
          <w:szCs w:val="24"/>
        </w:rPr>
        <w:t>households</w:t>
      </w:r>
      <w:r w:rsidR="00D62E6A">
        <w:rPr>
          <w:rFonts w:ascii="Arial" w:hAnsi="Arial" w:cs="Arial"/>
          <w:sz w:val="24"/>
          <w:szCs w:val="24"/>
        </w:rPr>
        <w:t xml:space="preserve">, the </w:t>
      </w:r>
      <w:r w:rsidR="009444B1">
        <w:rPr>
          <w:rFonts w:ascii="Arial" w:hAnsi="Arial" w:cs="Arial"/>
          <w:sz w:val="24"/>
          <w:szCs w:val="24"/>
        </w:rPr>
        <w:t>nonvacant</w:t>
      </w:r>
      <w:r w:rsidR="00D62E6A">
        <w:rPr>
          <w:rFonts w:ascii="Arial" w:hAnsi="Arial" w:cs="Arial"/>
          <w:sz w:val="24"/>
          <w:szCs w:val="24"/>
        </w:rPr>
        <w:t xml:space="preserve"> site’s existing use</w:t>
      </w:r>
      <w:r w:rsidR="002E3F49">
        <w:rPr>
          <w:rFonts w:ascii="Arial" w:hAnsi="Arial" w:cs="Arial"/>
          <w:sz w:val="24"/>
          <w:szCs w:val="24"/>
        </w:rPr>
        <w:t xml:space="preserve">s are </w:t>
      </w:r>
      <w:r w:rsidR="00D62E6A">
        <w:rPr>
          <w:rFonts w:ascii="Arial" w:hAnsi="Arial" w:cs="Arial"/>
          <w:sz w:val="24"/>
          <w:szCs w:val="24"/>
        </w:rPr>
        <w:t xml:space="preserve">presume to impede additional residential development, unless the housing </w:t>
      </w:r>
      <w:r w:rsidR="009444B1">
        <w:rPr>
          <w:rFonts w:ascii="Arial" w:hAnsi="Arial" w:cs="Arial"/>
          <w:sz w:val="24"/>
          <w:szCs w:val="24"/>
        </w:rPr>
        <w:t>element</w:t>
      </w:r>
      <w:r w:rsidR="00D62E6A">
        <w:rPr>
          <w:rFonts w:ascii="Arial" w:hAnsi="Arial" w:cs="Arial"/>
          <w:sz w:val="24"/>
          <w:szCs w:val="24"/>
        </w:rPr>
        <w:t xml:space="preserve"> describes </w:t>
      </w:r>
      <w:r w:rsidR="009444B1">
        <w:rPr>
          <w:rFonts w:ascii="Arial" w:hAnsi="Arial" w:cs="Arial"/>
          <w:sz w:val="24"/>
          <w:szCs w:val="24"/>
        </w:rPr>
        <w:t>findings</w:t>
      </w:r>
      <w:r w:rsidR="00D62E6A">
        <w:rPr>
          <w:rFonts w:ascii="Arial" w:hAnsi="Arial" w:cs="Arial"/>
          <w:sz w:val="24"/>
          <w:szCs w:val="24"/>
        </w:rPr>
        <w:t xml:space="preserve"> based on substantial </w:t>
      </w:r>
      <w:r w:rsidR="009444B1">
        <w:rPr>
          <w:rFonts w:ascii="Arial" w:hAnsi="Arial" w:cs="Arial"/>
          <w:sz w:val="24"/>
          <w:szCs w:val="24"/>
        </w:rPr>
        <w:t>evidence</w:t>
      </w:r>
      <w:r w:rsidR="00D62E6A">
        <w:rPr>
          <w:rFonts w:ascii="Arial" w:hAnsi="Arial" w:cs="Arial"/>
          <w:sz w:val="24"/>
          <w:szCs w:val="24"/>
        </w:rPr>
        <w:t xml:space="preserve"> that the </w:t>
      </w:r>
      <w:r w:rsidR="002E3F49">
        <w:rPr>
          <w:rFonts w:ascii="Arial" w:hAnsi="Arial" w:cs="Arial"/>
          <w:sz w:val="24"/>
          <w:szCs w:val="24"/>
        </w:rPr>
        <w:t xml:space="preserve">existing </w:t>
      </w:r>
      <w:r w:rsidR="00D62E6A">
        <w:rPr>
          <w:rFonts w:ascii="Arial" w:hAnsi="Arial" w:cs="Arial"/>
          <w:sz w:val="24"/>
          <w:szCs w:val="24"/>
        </w:rPr>
        <w:t>us</w:t>
      </w:r>
      <w:r w:rsidR="00853BB1">
        <w:rPr>
          <w:rFonts w:ascii="Arial" w:hAnsi="Arial" w:cs="Arial"/>
          <w:sz w:val="24"/>
          <w:szCs w:val="24"/>
        </w:rPr>
        <w:t>e</w:t>
      </w:r>
      <w:r w:rsidR="002E3F49">
        <w:rPr>
          <w:rFonts w:ascii="Arial" w:hAnsi="Arial" w:cs="Arial"/>
          <w:sz w:val="24"/>
          <w:szCs w:val="24"/>
        </w:rPr>
        <w:t>s</w:t>
      </w:r>
      <w:r w:rsidR="00D62E6A">
        <w:rPr>
          <w:rFonts w:ascii="Arial" w:hAnsi="Arial" w:cs="Arial"/>
          <w:sz w:val="24"/>
          <w:szCs w:val="24"/>
        </w:rPr>
        <w:t xml:space="preserve"> will likely be </w:t>
      </w:r>
      <w:r w:rsidR="009444B1">
        <w:rPr>
          <w:rFonts w:ascii="Arial" w:hAnsi="Arial" w:cs="Arial"/>
          <w:sz w:val="24"/>
          <w:szCs w:val="24"/>
        </w:rPr>
        <w:t>discontinued</w:t>
      </w:r>
      <w:r w:rsidR="00D62E6A">
        <w:rPr>
          <w:rFonts w:ascii="Arial" w:hAnsi="Arial" w:cs="Arial"/>
          <w:sz w:val="24"/>
          <w:szCs w:val="24"/>
        </w:rPr>
        <w:t xml:space="preserve"> </w:t>
      </w:r>
      <w:r w:rsidR="009444B1">
        <w:rPr>
          <w:rFonts w:ascii="Arial" w:hAnsi="Arial" w:cs="Arial"/>
          <w:sz w:val="24"/>
          <w:szCs w:val="24"/>
        </w:rPr>
        <w:t>during</w:t>
      </w:r>
      <w:r w:rsidR="00D62E6A">
        <w:rPr>
          <w:rFonts w:ascii="Arial" w:hAnsi="Arial" w:cs="Arial"/>
          <w:sz w:val="24"/>
          <w:szCs w:val="24"/>
        </w:rPr>
        <w:t xml:space="preserve"> the planning period</w:t>
      </w:r>
      <w:r w:rsidR="00853BB1">
        <w:rPr>
          <w:rFonts w:ascii="Arial" w:hAnsi="Arial" w:cs="Arial"/>
          <w:sz w:val="24"/>
          <w:szCs w:val="24"/>
        </w:rPr>
        <w:t>; and</w:t>
      </w:r>
    </w:p>
    <w:p w14:paraId="7BF78FAD" w14:textId="522BE52D" w:rsidR="002E3F49" w:rsidRPr="003E5BAF" w:rsidRDefault="001F3A5C" w:rsidP="00F66988">
      <w:pPr>
        <w:spacing w:after="240"/>
        <w:ind w:firstLine="720"/>
        <w:jc w:val="both"/>
        <w:rPr>
          <w:rFonts w:ascii="Arial" w:hAnsi="Arial" w:cs="Arial"/>
          <w:sz w:val="24"/>
          <w:szCs w:val="24"/>
        </w:rPr>
      </w:pPr>
      <w:r w:rsidRPr="003E5BAF">
        <w:rPr>
          <w:rFonts w:ascii="Arial" w:hAnsi="Arial" w:cs="Arial"/>
          <w:b/>
          <w:bCs/>
          <w:sz w:val="24"/>
          <w:szCs w:val="24"/>
        </w:rPr>
        <w:t>WHEREAS</w:t>
      </w:r>
      <w:r w:rsidRPr="003E5BAF">
        <w:rPr>
          <w:rFonts w:ascii="Arial" w:hAnsi="Arial" w:cs="Arial"/>
          <w:sz w:val="24"/>
          <w:szCs w:val="24"/>
        </w:rPr>
        <w:t>, staff has determined that the existing uses on the sites identified in the Moreno Valley Housing Element</w:t>
      </w:r>
      <w:r w:rsidR="002E3F49" w:rsidRPr="003E5BAF">
        <w:rPr>
          <w:rFonts w:ascii="Arial" w:hAnsi="Arial" w:cs="Arial"/>
          <w:sz w:val="24"/>
          <w:szCs w:val="24"/>
        </w:rPr>
        <w:t xml:space="preserve">’s </w:t>
      </w:r>
      <w:bookmarkStart w:id="1" w:name="_Hlk115175720"/>
      <w:r w:rsidR="003E5BAF" w:rsidRPr="003E5BAF">
        <w:rPr>
          <w:rFonts w:ascii="Arial" w:hAnsi="Arial" w:cs="Arial"/>
          <w:sz w:val="24"/>
          <w:szCs w:val="24"/>
        </w:rPr>
        <w:t xml:space="preserve">2021-29 Moreno Valley Housing Sites Inventory </w:t>
      </w:r>
      <w:bookmarkEnd w:id="1"/>
      <w:r w:rsidRPr="003E5BAF">
        <w:rPr>
          <w:rFonts w:ascii="Arial" w:hAnsi="Arial" w:cs="Arial"/>
          <w:sz w:val="24"/>
          <w:szCs w:val="24"/>
        </w:rPr>
        <w:t xml:space="preserve">to accommodate the lower income RHNA do not constitute an impediment to additional residential development during the 2021-2029 planning period covered by </w:t>
      </w:r>
      <w:r w:rsidR="008C010A" w:rsidRPr="003E5BAF">
        <w:rPr>
          <w:rFonts w:ascii="Arial" w:hAnsi="Arial" w:cs="Arial"/>
          <w:sz w:val="24"/>
          <w:szCs w:val="24"/>
        </w:rPr>
        <w:t>the Moreno</w:t>
      </w:r>
      <w:r w:rsidRPr="003E5BAF">
        <w:rPr>
          <w:rFonts w:ascii="Arial" w:hAnsi="Arial" w:cs="Arial"/>
          <w:sz w:val="24"/>
          <w:szCs w:val="24"/>
        </w:rPr>
        <w:t xml:space="preserve"> </w:t>
      </w:r>
      <w:r w:rsidRPr="003E5BAF">
        <w:rPr>
          <w:rFonts w:ascii="Arial" w:hAnsi="Arial" w:cs="Arial"/>
          <w:sz w:val="24"/>
          <w:szCs w:val="24"/>
        </w:rPr>
        <w:lastRenderedPageBreak/>
        <w:t>Valley Housing Element</w:t>
      </w:r>
      <w:r w:rsidR="00992864">
        <w:rPr>
          <w:rFonts w:ascii="Arial" w:hAnsi="Arial" w:cs="Arial"/>
          <w:sz w:val="24"/>
          <w:szCs w:val="24"/>
        </w:rPr>
        <w:t xml:space="preserve">, as </w:t>
      </w:r>
      <w:r w:rsidR="00EA08B9">
        <w:rPr>
          <w:rFonts w:ascii="Arial" w:hAnsi="Arial" w:cs="Arial"/>
          <w:sz w:val="24"/>
          <w:szCs w:val="24"/>
        </w:rPr>
        <w:t xml:space="preserve">currently </w:t>
      </w:r>
      <w:r w:rsidR="00992864">
        <w:rPr>
          <w:rFonts w:ascii="Arial" w:hAnsi="Arial" w:cs="Arial"/>
          <w:sz w:val="24"/>
          <w:szCs w:val="24"/>
        </w:rPr>
        <w:t>reflected in the Moreno Valley Housing Element</w:t>
      </w:r>
      <w:r w:rsidR="002E3F49" w:rsidRPr="003E5BAF">
        <w:rPr>
          <w:rFonts w:ascii="Arial" w:hAnsi="Arial" w:cs="Arial"/>
          <w:sz w:val="24"/>
          <w:szCs w:val="24"/>
        </w:rPr>
        <w:t>; and</w:t>
      </w:r>
    </w:p>
    <w:p w14:paraId="125BCDA1" w14:textId="6DA20AA3" w:rsidR="001E6871" w:rsidRDefault="008C010A" w:rsidP="00F66988">
      <w:pPr>
        <w:spacing w:after="240"/>
        <w:ind w:firstLine="720"/>
        <w:jc w:val="both"/>
        <w:rPr>
          <w:rFonts w:ascii="Arial" w:hAnsi="Arial" w:cs="Arial"/>
          <w:sz w:val="24"/>
          <w:szCs w:val="24"/>
        </w:rPr>
      </w:pPr>
      <w:r w:rsidRPr="009444B1">
        <w:rPr>
          <w:rFonts w:ascii="Arial" w:hAnsi="Arial" w:cs="Arial"/>
          <w:b/>
          <w:bCs/>
          <w:sz w:val="24"/>
          <w:szCs w:val="24"/>
        </w:rPr>
        <w:t>WHEREAS</w:t>
      </w:r>
      <w:r>
        <w:rPr>
          <w:rFonts w:ascii="Arial" w:hAnsi="Arial" w:cs="Arial"/>
          <w:sz w:val="24"/>
          <w:szCs w:val="24"/>
        </w:rPr>
        <w:t xml:space="preserve">, </w:t>
      </w:r>
      <w:r w:rsidR="001E6871">
        <w:rPr>
          <w:rFonts w:ascii="Arial" w:hAnsi="Arial" w:cs="Arial"/>
          <w:sz w:val="24"/>
          <w:szCs w:val="24"/>
        </w:rPr>
        <w:t>the purpose of this Resolution is to memorialize</w:t>
      </w:r>
      <w:r w:rsidR="002C5A80">
        <w:rPr>
          <w:rFonts w:ascii="Arial" w:hAnsi="Arial" w:cs="Arial"/>
          <w:sz w:val="24"/>
          <w:szCs w:val="24"/>
        </w:rPr>
        <w:t xml:space="preserve"> </w:t>
      </w:r>
      <w:r w:rsidR="001E6871">
        <w:rPr>
          <w:rFonts w:ascii="Arial" w:hAnsi="Arial" w:cs="Arial"/>
          <w:sz w:val="24"/>
          <w:szCs w:val="24"/>
        </w:rPr>
        <w:t xml:space="preserve">the </w:t>
      </w:r>
      <w:r w:rsidR="00EA08B9">
        <w:rPr>
          <w:rFonts w:ascii="Arial" w:hAnsi="Arial" w:cs="Arial"/>
          <w:sz w:val="24"/>
          <w:szCs w:val="24"/>
        </w:rPr>
        <w:t xml:space="preserve">reaffirmation of the </w:t>
      </w:r>
      <w:r>
        <w:rPr>
          <w:rFonts w:ascii="Arial" w:hAnsi="Arial" w:cs="Arial"/>
          <w:sz w:val="24"/>
          <w:szCs w:val="24"/>
        </w:rPr>
        <w:t>City Council</w:t>
      </w:r>
      <w:r w:rsidR="00EA08B9">
        <w:rPr>
          <w:rFonts w:ascii="Arial" w:hAnsi="Arial" w:cs="Arial"/>
          <w:sz w:val="24"/>
          <w:szCs w:val="24"/>
        </w:rPr>
        <w:t>’s</w:t>
      </w:r>
      <w:r>
        <w:rPr>
          <w:rFonts w:ascii="Arial" w:hAnsi="Arial" w:cs="Arial"/>
          <w:sz w:val="24"/>
          <w:szCs w:val="24"/>
        </w:rPr>
        <w:t xml:space="preserve"> find</w:t>
      </w:r>
      <w:r w:rsidR="001E6871">
        <w:rPr>
          <w:rFonts w:ascii="Arial" w:hAnsi="Arial" w:cs="Arial"/>
          <w:sz w:val="24"/>
          <w:szCs w:val="24"/>
        </w:rPr>
        <w:t xml:space="preserve">ings </w:t>
      </w:r>
      <w:r>
        <w:rPr>
          <w:rFonts w:ascii="Arial" w:hAnsi="Arial" w:cs="Arial"/>
          <w:sz w:val="24"/>
          <w:szCs w:val="24"/>
        </w:rPr>
        <w:t>and determin</w:t>
      </w:r>
      <w:r w:rsidR="001E6871">
        <w:rPr>
          <w:rFonts w:ascii="Arial" w:hAnsi="Arial" w:cs="Arial"/>
          <w:sz w:val="24"/>
          <w:szCs w:val="24"/>
        </w:rPr>
        <w:t>ation</w:t>
      </w:r>
      <w:r w:rsidR="00EA08B9">
        <w:rPr>
          <w:rFonts w:ascii="Arial" w:hAnsi="Arial" w:cs="Arial"/>
          <w:sz w:val="24"/>
          <w:szCs w:val="24"/>
        </w:rPr>
        <w:t xml:space="preserve"> that</w:t>
      </w:r>
      <w:r w:rsidR="002C5A80">
        <w:rPr>
          <w:rFonts w:ascii="Arial" w:hAnsi="Arial" w:cs="Arial"/>
          <w:sz w:val="24"/>
          <w:szCs w:val="24"/>
        </w:rPr>
        <w:t xml:space="preserve"> when it adopted the Moreno Valley Housing Element, </w:t>
      </w:r>
      <w:r>
        <w:rPr>
          <w:rFonts w:ascii="Arial" w:hAnsi="Arial" w:cs="Arial"/>
          <w:sz w:val="24"/>
          <w:szCs w:val="24"/>
        </w:rPr>
        <w:t xml:space="preserve">that based on substantial evidence, as articulated in </w:t>
      </w:r>
      <w:r w:rsidR="00EA08B9">
        <w:rPr>
          <w:rFonts w:ascii="Arial" w:hAnsi="Arial" w:cs="Arial"/>
          <w:sz w:val="24"/>
          <w:szCs w:val="24"/>
        </w:rPr>
        <w:t xml:space="preserve">the current </w:t>
      </w:r>
      <w:r w:rsidR="00A72BB6">
        <w:rPr>
          <w:rFonts w:ascii="Arial" w:hAnsi="Arial" w:cs="Arial"/>
          <w:sz w:val="24"/>
          <w:szCs w:val="24"/>
        </w:rPr>
        <w:t>Moreno Valley Housing Element</w:t>
      </w:r>
      <w:r>
        <w:rPr>
          <w:rFonts w:ascii="Arial" w:hAnsi="Arial" w:cs="Arial"/>
          <w:sz w:val="24"/>
          <w:szCs w:val="24"/>
        </w:rPr>
        <w:t xml:space="preserve">, </w:t>
      </w:r>
      <w:r w:rsidR="002C5A80">
        <w:rPr>
          <w:rFonts w:ascii="Arial" w:hAnsi="Arial" w:cs="Arial"/>
          <w:sz w:val="24"/>
          <w:szCs w:val="24"/>
        </w:rPr>
        <w:t xml:space="preserve">that </w:t>
      </w:r>
      <w:r>
        <w:rPr>
          <w:rFonts w:ascii="Arial" w:hAnsi="Arial" w:cs="Arial"/>
          <w:sz w:val="24"/>
          <w:szCs w:val="24"/>
        </w:rPr>
        <w:t xml:space="preserve">the existing uses in the sites identified on the Moreno Valley Housing Element’s </w:t>
      </w:r>
      <w:r w:rsidR="003E5BAF" w:rsidRPr="003E5BAF">
        <w:rPr>
          <w:rFonts w:ascii="Arial" w:hAnsi="Arial" w:cs="Arial"/>
          <w:sz w:val="24"/>
          <w:szCs w:val="24"/>
        </w:rPr>
        <w:t xml:space="preserve">2021-29 Moreno Valley Housing Sites Inventory </w:t>
      </w:r>
      <w:r>
        <w:rPr>
          <w:rFonts w:ascii="Arial" w:hAnsi="Arial" w:cs="Arial"/>
          <w:sz w:val="24"/>
          <w:szCs w:val="24"/>
        </w:rPr>
        <w:t>to accommodate the lower income RHNA are likely to be discontinued during the Moreno Valley Housing Element’s 2021-2029 planning period, and therefore do not constitute an impediment to additional residential development during the Moreno Valley Housing Element’s 2021-2029 planning period</w:t>
      </w:r>
      <w:r w:rsidR="00EA08B9">
        <w:rPr>
          <w:rFonts w:ascii="Arial" w:hAnsi="Arial" w:cs="Arial"/>
          <w:sz w:val="24"/>
          <w:szCs w:val="24"/>
        </w:rPr>
        <w:t>.</w:t>
      </w:r>
    </w:p>
    <w:p w14:paraId="1CB5372F" w14:textId="0A737145" w:rsidR="008C010A" w:rsidRPr="00D06C02" w:rsidRDefault="008C010A" w:rsidP="00F66988">
      <w:pPr>
        <w:spacing w:after="240"/>
        <w:ind w:firstLine="720"/>
        <w:jc w:val="both"/>
        <w:rPr>
          <w:rFonts w:ascii="Arial" w:hAnsi="Arial" w:cs="Arial"/>
          <w:b/>
          <w:sz w:val="24"/>
          <w:szCs w:val="24"/>
        </w:rPr>
      </w:pPr>
      <w:r w:rsidRPr="00D06C02">
        <w:rPr>
          <w:rFonts w:ascii="Arial" w:hAnsi="Arial" w:cs="Arial"/>
          <w:b/>
          <w:sz w:val="24"/>
          <w:szCs w:val="24"/>
        </w:rPr>
        <w:t xml:space="preserve">NOW, THEREFORE, THE </w:t>
      </w:r>
      <w:r w:rsidR="009F3145">
        <w:rPr>
          <w:rFonts w:ascii="Arial" w:hAnsi="Arial" w:cs="Arial"/>
          <w:b/>
          <w:sz w:val="24"/>
          <w:szCs w:val="24"/>
        </w:rPr>
        <w:t xml:space="preserve">CITY COUNCIL </w:t>
      </w:r>
      <w:r w:rsidRPr="00D06C02">
        <w:rPr>
          <w:rFonts w:ascii="Arial" w:hAnsi="Arial" w:cs="Arial"/>
          <w:b/>
          <w:sz w:val="24"/>
          <w:szCs w:val="24"/>
        </w:rPr>
        <w:t>OF THE CITY OF MORENO VALLEY, CALIFORNIA, DOES HEREBY RESOLVE AS FOLLOWS:</w:t>
      </w:r>
    </w:p>
    <w:p w14:paraId="6F12BC3F" w14:textId="77777777" w:rsidR="008C010A" w:rsidRPr="00D06C02" w:rsidRDefault="008C010A" w:rsidP="008C010A">
      <w:pPr>
        <w:spacing w:after="240"/>
        <w:ind w:firstLine="720"/>
        <w:rPr>
          <w:rFonts w:ascii="Arial" w:hAnsi="Arial" w:cs="Arial"/>
          <w:b/>
          <w:sz w:val="24"/>
          <w:szCs w:val="24"/>
        </w:rPr>
      </w:pPr>
      <w:bookmarkStart w:id="2" w:name="_Hlk115174075"/>
      <w:r w:rsidRPr="002C7E52">
        <w:rPr>
          <w:rFonts w:ascii="Arial" w:hAnsi="Arial" w:cs="Arial"/>
          <w:b/>
          <w:sz w:val="24"/>
          <w:szCs w:val="24"/>
          <w:u w:val="single"/>
        </w:rPr>
        <w:t>Section 1.</w:t>
      </w:r>
      <w:r w:rsidRPr="00D06C02">
        <w:rPr>
          <w:rFonts w:ascii="Arial" w:hAnsi="Arial" w:cs="Arial"/>
          <w:b/>
          <w:sz w:val="24"/>
          <w:szCs w:val="24"/>
        </w:rPr>
        <w:tab/>
      </w:r>
      <w:r w:rsidRPr="00D06C02">
        <w:rPr>
          <w:rFonts w:ascii="Arial" w:hAnsi="Arial" w:cs="Arial"/>
          <w:b/>
          <w:sz w:val="24"/>
          <w:szCs w:val="24"/>
        </w:rPr>
        <w:tab/>
        <w:t>Recitals and Exhibits</w:t>
      </w:r>
    </w:p>
    <w:bookmarkEnd w:id="2"/>
    <w:p w14:paraId="3CCCA33D" w14:textId="7C7EF916" w:rsidR="008C010A" w:rsidRPr="00187731" w:rsidRDefault="008C010A" w:rsidP="008C010A">
      <w:pPr>
        <w:spacing w:after="240"/>
        <w:ind w:firstLine="720"/>
        <w:jc w:val="both"/>
        <w:rPr>
          <w:rFonts w:ascii="Arial" w:hAnsi="Arial" w:cs="Arial"/>
          <w:sz w:val="24"/>
          <w:szCs w:val="24"/>
        </w:rPr>
      </w:pPr>
      <w:r w:rsidRPr="00187731">
        <w:rPr>
          <w:rFonts w:ascii="Arial" w:hAnsi="Arial" w:cs="Arial"/>
          <w:sz w:val="24"/>
          <w:szCs w:val="24"/>
        </w:rPr>
        <w:t xml:space="preserve">That the foregoing Recitals are true and correct and are hereby incorporated by this reference. </w:t>
      </w:r>
    </w:p>
    <w:p w14:paraId="2FCA7DBC" w14:textId="3B71790E" w:rsidR="009F3145" w:rsidRPr="005C03E1" w:rsidRDefault="009F3145" w:rsidP="009F3145">
      <w:pPr>
        <w:spacing w:after="240"/>
        <w:ind w:firstLine="720"/>
        <w:rPr>
          <w:rFonts w:ascii="Arial" w:hAnsi="Arial" w:cs="Arial"/>
          <w:b/>
          <w:sz w:val="24"/>
          <w:szCs w:val="24"/>
        </w:rPr>
      </w:pPr>
      <w:r w:rsidRPr="005C03E1">
        <w:rPr>
          <w:rFonts w:ascii="Arial" w:hAnsi="Arial" w:cs="Arial"/>
          <w:b/>
          <w:sz w:val="24"/>
          <w:szCs w:val="24"/>
          <w:u w:val="single"/>
        </w:rPr>
        <w:t>Section 2</w:t>
      </w:r>
      <w:r w:rsidRPr="005C03E1">
        <w:rPr>
          <w:rFonts w:ascii="Arial" w:hAnsi="Arial" w:cs="Arial"/>
          <w:b/>
          <w:sz w:val="24"/>
          <w:szCs w:val="24"/>
        </w:rPr>
        <w:t>.</w:t>
      </w:r>
      <w:r w:rsidRPr="005C03E1">
        <w:rPr>
          <w:rFonts w:ascii="Arial" w:hAnsi="Arial" w:cs="Arial"/>
          <w:b/>
          <w:sz w:val="24"/>
          <w:szCs w:val="24"/>
        </w:rPr>
        <w:tab/>
      </w:r>
      <w:r w:rsidRPr="005C03E1">
        <w:rPr>
          <w:rFonts w:ascii="Arial" w:hAnsi="Arial" w:cs="Arial"/>
          <w:b/>
          <w:sz w:val="24"/>
          <w:szCs w:val="24"/>
        </w:rPr>
        <w:tab/>
      </w:r>
      <w:r w:rsidR="009B6496" w:rsidRPr="005C03E1">
        <w:rPr>
          <w:rFonts w:ascii="Arial" w:hAnsi="Arial" w:cs="Arial"/>
          <w:b/>
          <w:sz w:val="24"/>
          <w:szCs w:val="24"/>
        </w:rPr>
        <w:t xml:space="preserve">Substantial </w:t>
      </w:r>
      <w:r w:rsidRPr="005C03E1">
        <w:rPr>
          <w:rFonts w:ascii="Arial" w:hAnsi="Arial" w:cs="Arial"/>
          <w:b/>
          <w:sz w:val="24"/>
          <w:szCs w:val="24"/>
        </w:rPr>
        <w:t>Evidence</w:t>
      </w:r>
    </w:p>
    <w:p w14:paraId="7E57AFB9" w14:textId="2C14DCAA" w:rsidR="00992864" w:rsidRPr="005C03E1" w:rsidRDefault="009F3145" w:rsidP="00A72BB6">
      <w:pPr>
        <w:spacing w:after="240"/>
        <w:ind w:firstLine="720"/>
        <w:jc w:val="both"/>
        <w:rPr>
          <w:rFonts w:ascii="Arial" w:hAnsi="Arial" w:cs="Arial"/>
          <w:bCs/>
          <w:sz w:val="24"/>
          <w:szCs w:val="24"/>
          <w:highlight w:val="yellow"/>
        </w:rPr>
      </w:pPr>
      <w:r w:rsidRPr="005C03E1">
        <w:rPr>
          <w:rFonts w:ascii="Arial" w:hAnsi="Arial" w:cs="Arial"/>
          <w:bCs/>
          <w:sz w:val="24"/>
          <w:szCs w:val="24"/>
        </w:rPr>
        <w:t xml:space="preserve">That the City Council has considered </w:t>
      </w:r>
      <w:r w:rsidR="009B6496" w:rsidRPr="005C03E1">
        <w:rPr>
          <w:rFonts w:ascii="Arial" w:hAnsi="Arial" w:cs="Arial"/>
          <w:bCs/>
          <w:sz w:val="24"/>
          <w:szCs w:val="24"/>
        </w:rPr>
        <w:t xml:space="preserve">the </w:t>
      </w:r>
      <w:r w:rsidRPr="005C03E1">
        <w:rPr>
          <w:rFonts w:ascii="Arial" w:hAnsi="Arial" w:cs="Arial"/>
          <w:bCs/>
          <w:sz w:val="24"/>
          <w:szCs w:val="24"/>
        </w:rPr>
        <w:t>evidence</w:t>
      </w:r>
      <w:r w:rsidR="002C5A80">
        <w:rPr>
          <w:rFonts w:ascii="Arial" w:hAnsi="Arial" w:cs="Arial"/>
          <w:bCs/>
          <w:sz w:val="24"/>
          <w:szCs w:val="24"/>
        </w:rPr>
        <w:t xml:space="preserve"> contained in the Moreno Valley Housing Element</w:t>
      </w:r>
      <w:r w:rsidR="009B6496" w:rsidRPr="005C03E1">
        <w:rPr>
          <w:rFonts w:ascii="Arial" w:hAnsi="Arial" w:cs="Arial"/>
          <w:bCs/>
          <w:sz w:val="24"/>
          <w:szCs w:val="24"/>
        </w:rPr>
        <w:t>, which include facts, reasonable assumptions predicated upon certain fa</w:t>
      </w:r>
      <w:r w:rsidR="00AD0F3D" w:rsidRPr="005C03E1">
        <w:rPr>
          <w:rFonts w:ascii="Arial" w:hAnsi="Arial" w:cs="Arial"/>
          <w:bCs/>
          <w:sz w:val="24"/>
          <w:szCs w:val="24"/>
        </w:rPr>
        <w:t>c</w:t>
      </w:r>
      <w:r w:rsidR="009B6496" w:rsidRPr="005C03E1">
        <w:rPr>
          <w:rFonts w:ascii="Arial" w:hAnsi="Arial" w:cs="Arial"/>
          <w:bCs/>
          <w:sz w:val="24"/>
          <w:szCs w:val="24"/>
        </w:rPr>
        <w:t>ts, and expert opinion supported by certain facts</w:t>
      </w:r>
      <w:r w:rsidR="00A72BB6" w:rsidRPr="005C03E1">
        <w:rPr>
          <w:rFonts w:ascii="Arial" w:hAnsi="Arial" w:cs="Arial"/>
          <w:bCs/>
          <w:sz w:val="24"/>
          <w:szCs w:val="24"/>
        </w:rPr>
        <w:t xml:space="preserve">, </w:t>
      </w:r>
      <w:r w:rsidR="002C5A80">
        <w:rPr>
          <w:rFonts w:ascii="Arial" w:hAnsi="Arial" w:cs="Arial"/>
          <w:bCs/>
          <w:sz w:val="24"/>
          <w:szCs w:val="24"/>
        </w:rPr>
        <w:t xml:space="preserve">including but not limited </w:t>
      </w:r>
      <w:bookmarkStart w:id="3" w:name="_Hlk115177329"/>
      <w:r w:rsidR="002C5A80">
        <w:rPr>
          <w:rFonts w:ascii="Arial" w:hAnsi="Arial" w:cs="Arial"/>
          <w:bCs/>
          <w:sz w:val="24"/>
          <w:szCs w:val="24"/>
        </w:rPr>
        <w:t xml:space="preserve">to </w:t>
      </w:r>
      <w:r w:rsidR="002C5A80" w:rsidRPr="005C03E1">
        <w:rPr>
          <w:rFonts w:ascii="Arial" w:hAnsi="Arial" w:cs="Arial"/>
          <w:bCs/>
          <w:sz w:val="24"/>
          <w:szCs w:val="24"/>
        </w:rPr>
        <w:t>an analysis of existing leases, building conditions, age of construction, assessed value, floor area ratios, location, zoning and types of permits</w:t>
      </w:r>
      <w:r w:rsidR="002C5A80">
        <w:rPr>
          <w:rFonts w:ascii="Arial" w:hAnsi="Arial" w:cs="Arial"/>
          <w:bCs/>
          <w:sz w:val="24"/>
          <w:szCs w:val="24"/>
        </w:rPr>
        <w:t xml:space="preserve">, </w:t>
      </w:r>
      <w:r w:rsidR="002D377A">
        <w:rPr>
          <w:rFonts w:ascii="Arial" w:hAnsi="Arial" w:cs="Arial"/>
          <w:bCs/>
          <w:sz w:val="24"/>
          <w:szCs w:val="24"/>
        </w:rPr>
        <w:t xml:space="preserve">pertaining to certain nonvacant sites contained in the </w:t>
      </w:r>
      <w:r w:rsidR="003E5BAF" w:rsidRPr="005C03E1">
        <w:rPr>
          <w:rFonts w:ascii="Arial" w:hAnsi="Arial" w:cs="Arial"/>
          <w:bCs/>
          <w:sz w:val="24"/>
          <w:szCs w:val="24"/>
        </w:rPr>
        <w:t>2021-29 Moreno Valley Housing Sites Inventory as set forth in Appendix A of the Moreno Valley Housing Element</w:t>
      </w:r>
      <w:bookmarkEnd w:id="3"/>
      <w:r w:rsidR="002D377A">
        <w:rPr>
          <w:rFonts w:ascii="Arial" w:hAnsi="Arial" w:cs="Arial"/>
          <w:bCs/>
          <w:sz w:val="24"/>
          <w:szCs w:val="24"/>
        </w:rPr>
        <w:t>.</w:t>
      </w:r>
    </w:p>
    <w:p w14:paraId="718C8667" w14:textId="5F8BDEE2" w:rsidR="009B6496" w:rsidRPr="005C03E1" w:rsidRDefault="009B6496" w:rsidP="009B6496">
      <w:pPr>
        <w:spacing w:after="240"/>
        <w:ind w:firstLine="720"/>
        <w:rPr>
          <w:rFonts w:ascii="Arial" w:hAnsi="Arial" w:cs="Arial"/>
          <w:b/>
          <w:sz w:val="24"/>
          <w:szCs w:val="24"/>
        </w:rPr>
      </w:pPr>
      <w:bookmarkStart w:id="4" w:name="_Hlk115174679"/>
      <w:r w:rsidRPr="005C03E1">
        <w:rPr>
          <w:rFonts w:ascii="Arial" w:hAnsi="Arial" w:cs="Arial"/>
          <w:b/>
          <w:sz w:val="24"/>
          <w:szCs w:val="24"/>
          <w:u w:val="single"/>
        </w:rPr>
        <w:t>Section 3</w:t>
      </w:r>
      <w:r w:rsidRPr="005C03E1">
        <w:rPr>
          <w:rFonts w:ascii="Arial" w:hAnsi="Arial" w:cs="Arial"/>
          <w:b/>
          <w:sz w:val="24"/>
          <w:szCs w:val="24"/>
        </w:rPr>
        <w:t>.</w:t>
      </w:r>
      <w:r w:rsidRPr="005C03E1">
        <w:rPr>
          <w:rFonts w:ascii="Arial" w:hAnsi="Arial" w:cs="Arial"/>
          <w:b/>
          <w:sz w:val="24"/>
          <w:szCs w:val="24"/>
        </w:rPr>
        <w:tab/>
      </w:r>
      <w:r w:rsidRPr="005C03E1">
        <w:rPr>
          <w:rFonts w:ascii="Arial" w:hAnsi="Arial" w:cs="Arial"/>
          <w:b/>
          <w:sz w:val="24"/>
          <w:szCs w:val="24"/>
        </w:rPr>
        <w:tab/>
        <w:t xml:space="preserve">Findings and </w:t>
      </w:r>
      <w:r w:rsidR="001C6CF6" w:rsidRPr="005C03E1">
        <w:rPr>
          <w:rFonts w:ascii="Arial" w:hAnsi="Arial" w:cs="Arial"/>
          <w:b/>
          <w:sz w:val="24"/>
          <w:szCs w:val="24"/>
        </w:rPr>
        <w:t>Determinations</w:t>
      </w:r>
    </w:p>
    <w:bookmarkEnd w:id="4"/>
    <w:p w14:paraId="29BF435B" w14:textId="40815E10" w:rsidR="003E5BAF" w:rsidRPr="005C03E1" w:rsidRDefault="009B6496" w:rsidP="00992864">
      <w:pPr>
        <w:spacing w:after="240"/>
        <w:ind w:firstLine="720"/>
        <w:jc w:val="both"/>
        <w:rPr>
          <w:rFonts w:ascii="Arial" w:hAnsi="Arial" w:cs="Arial"/>
          <w:bCs/>
          <w:sz w:val="24"/>
          <w:szCs w:val="24"/>
        </w:rPr>
      </w:pPr>
      <w:r w:rsidRPr="005C03E1">
        <w:rPr>
          <w:rFonts w:ascii="Arial" w:hAnsi="Arial" w:cs="Arial"/>
          <w:bCs/>
          <w:sz w:val="24"/>
          <w:szCs w:val="24"/>
        </w:rPr>
        <w:t>That based on the content of the foregoing Recitals and the Substan</w:t>
      </w:r>
      <w:r w:rsidR="001C6CF6" w:rsidRPr="005C03E1">
        <w:rPr>
          <w:rFonts w:ascii="Arial" w:hAnsi="Arial" w:cs="Arial"/>
          <w:bCs/>
          <w:sz w:val="24"/>
          <w:szCs w:val="24"/>
        </w:rPr>
        <w:t>tial E</w:t>
      </w:r>
      <w:r w:rsidRPr="005C03E1">
        <w:rPr>
          <w:rFonts w:ascii="Arial" w:hAnsi="Arial" w:cs="Arial"/>
          <w:bCs/>
          <w:sz w:val="24"/>
          <w:szCs w:val="24"/>
        </w:rPr>
        <w:t>vidence</w:t>
      </w:r>
      <w:r w:rsidR="001C6CF6" w:rsidRPr="005C03E1">
        <w:rPr>
          <w:rFonts w:ascii="Arial" w:hAnsi="Arial" w:cs="Arial"/>
          <w:bCs/>
          <w:sz w:val="24"/>
          <w:szCs w:val="24"/>
        </w:rPr>
        <w:t xml:space="preserve"> as described hereinabove, t</w:t>
      </w:r>
      <w:r w:rsidRPr="005C03E1">
        <w:rPr>
          <w:rFonts w:ascii="Arial" w:hAnsi="Arial" w:cs="Arial"/>
          <w:bCs/>
          <w:sz w:val="24"/>
          <w:szCs w:val="24"/>
        </w:rPr>
        <w:t xml:space="preserve">he </w:t>
      </w:r>
      <w:r w:rsidR="001C6CF6" w:rsidRPr="005C03E1">
        <w:rPr>
          <w:rFonts w:ascii="Arial" w:hAnsi="Arial" w:cs="Arial"/>
          <w:bCs/>
          <w:sz w:val="24"/>
          <w:szCs w:val="24"/>
        </w:rPr>
        <w:t xml:space="preserve">City Council </w:t>
      </w:r>
      <w:r w:rsidR="002D377A">
        <w:rPr>
          <w:rFonts w:ascii="Arial" w:hAnsi="Arial" w:cs="Arial"/>
          <w:bCs/>
          <w:sz w:val="24"/>
          <w:szCs w:val="24"/>
        </w:rPr>
        <w:t xml:space="preserve">reaffirms its </w:t>
      </w:r>
      <w:r w:rsidR="001C6CF6" w:rsidRPr="005C03E1">
        <w:rPr>
          <w:rFonts w:ascii="Arial" w:hAnsi="Arial" w:cs="Arial"/>
          <w:bCs/>
          <w:sz w:val="24"/>
          <w:szCs w:val="24"/>
        </w:rPr>
        <w:t>find</w:t>
      </w:r>
      <w:r w:rsidR="002D377A">
        <w:rPr>
          <w:rFonts w:ascii="Arial" w:hAnsi="Arial" w:cs="Arial"/>
          <w:bCs/>
          <w:sz w:val="24"/>
          <w:szCs w:val="24"/>
        </w:rPr>
        <w:t xml:space="preserve">ings </w:t>
      </w:r>
      <w:r w:rsidR="00992864" w:rsidRPr="005C03E1">
        <w:rPr>
          <w:rFonts w:ascii="Arial" w:hAnsi="Arial" w:cs="Arial"/>
          <w:bCs/>
          <w:sz w:val="24"/>
          <w:szCs w:val="24"/>
        </w:rPr>
        <w:t>and determin</w:t>
      </w:r>
      <w:r w:rsidR="002D377A">
        <w:rPr>
          <w:rFonts w:ascii="Arial" w:hAnsi="Arial" w:cs="Arial"/>
          <w:bCs/>
          <w:sz w:val="24"/>
          <w:szCs w:val="24"/>
        </w:rPr>
        <w:t xml:space="preserve">ation </w:t>
      </w:r>
      <w:r w:rsidR="00992864" w:rsidRPr="005C03E1">
        <w:rPr>
          <w:rFonts w:ascii="Arial" w:hAnsi="Arial" w:cs="Arial"/>
          <w:bCs/>
          <w:sz w:val="24"/>
          <w:szCs w:val="24"/>
        </w:rPr>
        <w:t xml:space="preserve">that </w:t>
      </w:r>
      <w:r w:rsidR="00EA08B9">
        <w:rPr>
          <w:rFonts w:ascii="Arial" w:hAnsi="Arial" w:cs="Arial"/>
          <w:bCs/>
          <w:sz w:val="24"/>
          <w:szCs w:val="24"/>
        </w:rPr>
        <w:t xml:space="preserve">based on observations set forth in the Moreno Valley Housing Element of </w:t>
      </w:r>
      <w:r w:rsidR="00992864" w:rsidRPr="005C03E1">
        <w:rPr>
          <w:rFonts w:ascii="Arial" w:eastAsia="Times New Roman" w:hAnsi="Arial" w:cs="Arial"/>
          <w:bCs/>
          <w:sz w:val="24"/>
          <w:szCs w:val="24"/>
        </w:rPr>
        <w:t xml:space="preserve">site underutilization, </w:t>
      </w:r>
      <w:r w:rsidR="005C03E1" w:rsidRPr="005C03E1">
        <w:rPr>
          <w:rFonts w:ascii="Arial" w:eastAsia="Times New Roman" w:hAnsi="Arial" w:cs="Arial"/>
          <w:bCs/>
          <w:sz w:val="24"/>
          <w:szCs w:val="24"/>
        </w:rPr>
        <w:t xml:space="preserve">such as but not limited to, </w:t>
      </w:r>
      <w:r w:rsidR="00992864" w:rsidRPr="005C03E1">
        <w:rPr>
          <w:rFonts w:ascii="Arial" w:eastAsia="Times New Roman" w:hAnsi="Arial" w:cs="Arial"/>
          <w:bCs/>
          <w:sz w:val="24"/>
          <w:szCs w:val="24"/>
        </w:rPr>
        <w:t xml:space="preserve">low assessed value ratio, low floor area ratio, age of existing structures, vacancy rates, and location away from high traffic/high visibility intersections, </w:t>
      </w:r>
      <w:r w:rsidR="00EA08B9">
        <w:rPr>
          <w:rFonts w:ascii="Arial" w:eastAsia="Times New Roman" w:hAnsi="Arial" w:cs="Arial"/>
          <w:bCs/>
          <w:sz w:val="24"/>
          <w:szCs w:val="24"/>
        </w:rPr>
        <w:t xml:space="preserve">that </w:t>
      </w:r>
      <w:r w:rsidR="00992864" w:rsidRPr="005C03E1">
        <w:rPr>
          <w:rFonts w:ascii="Arial" w:eastAsia="Times New Roman" w:hAnsi="Arial" w:cs="Arial"/>
          <w:bCs/>
          <w:sz w:val="24"/>
          <w:szCs w:val="24"/>
        </w:rPr>
        <w:t xml:space="preserve">the existing uses on the sites identified in </w:t>
      </w:r>
      <w:r w:rsidR="00992864" w:rsidRPr="005C03E1">
        <w:rPr>
          <w:rFonts w:ascii="Arial" w:hAnsi="Arial" w:cs="Arial"/>
          <w:bCs/>
          <w:sz w:val="24"/>
          <w:szCs w:val="24"/>
        </w:rPr>
        <w:t>2021-29 Moreno Valley Housing Sites Inventory as set forth in Appendix A of the Moreno Valley Housing Element</w:t>
      </w:r>
      <w:r w:rsidR="00992864" w:rsidRPr="005C03E1">
        <w:rPr>
          <w:rFonts w:ascii="Arial" w:eastAsia="Times New Roman" w:hAnsi="Arial" w:cs="Arial"/>
          <w:bCs/>
          <w:sz w:val="24"/>
          <w:szCs w:val="24"/>
        </w:rPr>
        <w:t xml:space="preserve"> to accommodate the lower income RHNA are likely to be discontinued, replaced, or redeveloped during the Moreno V</w:t>
      </w:r>
      <w:r w:rsidR="005C03E1" w:rsidRPr="005C03E1">
        <w:rPr>
          <w:rFonts w:ascii="Arial" w:eastAsia="Times New Roman" w:hAnsi="Arial" w:cs="Arial"/>
          <w:bCs/>
          <w:sz w:val="24"/>
          <w:szCs w:val="24"/>
        </w:rPr>
        <w:t xml:space="preserve">alley </w:t>
      </w:r>
      <w:r w:rsidR="00992864" w:rsidRPr="005C03E1">
        <w:rPr>
          <w:rFonts w:ascii="Arial" w:eastAsia="Times New Roman" w:hAnsi="Arial" w:cs="Arial"/>
          <w:bCs/>
          <w:sz w:val="24"/>
          <w:szCs w:val="24"/>
        </w:rPr>
        <w:t>Housing Element’s 2021-29 planning period, and therefore do not constitute an impediment to additional residential development during the Moreno V</w:t>
      </w:r>
      <w:r w:rsidR="005C03E1" w:rsidRPr="005C03E1">
        <w:rPr>
          <w:rFonts w:ascii="Arial" w:eastAsia="Times New Roman" w:hAnsi="Arial" w:cs="Arial"/>
          <w:bCs/>
          <w:sz w:val="24"/>
          <w:szCs w:val="24"/>
        </w:rPr>
        <w:t xml:space="preserve">alley </w:t>
      </w:r>
      <w:r w:rsidR="00992864" w:rsidRPr="005C03E1">
        <w:rPr>
          <w:rFonts w:ascii="Arial" w:eastAsia="Times New Roman" w:hAnsi="Arial" w:cs="Arial"/>
          <w:bCs/>
          <w:sz w:val="24"/>
          <w:szCs w:val="24"/>
        </w:rPr>
        <w:t>Housing Element’s 2021-29 planning period.</w:t>
      </w:r>
    </w:p>
    <w:p w14:paraId="7ADBE54D" w14:textId="77777777" w:rsidR="00F66988" w:rsidRDefault="00F66988" w:rsidP="001C6CF6">
      <w:pPr>
        <w:spacing w:after="240"/>
        <w:ind w:firstLine="720"/>
        <w:rPr>
          <w:rFonts w:ascii="Arial" w:hAnsi="Arial" w:cs="Arial"/>
          <w:b/>
          <w:sz w:val="24"/>
          <w:szCs w:val="24"/>
          <w:u w:val="single"/>
        </w:rPr>
      </w:pPr>
    </w:p>
    <w:p w14:paraId="41F7D619" w14:textId="77777777" w:rsidR="00F66988" w:rsidRDefault="00F66988" w:rsidP="001C6CF6">
      <w:pPr>
        <w:spacing w:after="240"/>
        <w:ind w:firstLine="720"/>
        <w:rPr>
          <w:rFonts w:ascii="Arial" w:hAnsi="Arial" w:cs="Arial"/>
          <w:b/>
          <w:sz w:val="24"/>
          <w:szCs w:val="24"/>
          <w:u w:val="single"/>
        </w:rPr>
      </w:pPr>
    </w:p>
    <w:p w14:paraId="786F1FE7" w14:textId="60F8C058" w:rsidR="001C6CF6" w:rsidRPr="00D06C02" w:rsidRDefault="001C6CF6" w:rsidP="001C6CF6">
      <w:pPr>
        <w:spacing w:after="240"/>
        <w:ind w:firstLine="720"/>
        <w:rPr>
          <w:rFonts w:ascii="Arial" w:hAnsi="Arial" w:cs="Arial"/>
          <w:b/>
          <w:sz w:val="24"/>
          <w:szCs w:val="24"/>
        </w:rPr>
      </w:pPr>
      <w:r w:rsidRPr="002C7E52">
        <w:rPr>
          <w:rFonts w:ascii="Arial" w:hAnsi="Arial" w:cs="Arial"/>
          <w:b/>
          <w:sz w:val="24"/>
          <w:szCs w:val="24"/>
          <w:u w:val="single"/>
        </w:rPr>
        <w:lastRenderedPageBreak/>
        <w:t xml:space="preserve">Section </w:t>
      </w:r>
      <w:r>
        <w:rPr>
          <w:rFonts w:ascii="Arial" w:hAnsi="Arial" w:cs="Arial"/>
          <w:b/>
          <w:sz w:val="24"/>
          <w:szCs w:val="24"/>
          <w:u w:val="single"/>
        </w:rPr>
        <w:t>4</w:t>
      </w:r>
      <w:r w:rsidRPr="00AD0F3D">
        <w:rPr>
          <w:rFonts w:ascii="Arial" w:hAnsi="Arial" w:cs="Arial"/>
          <w:b/>
          <w:sz w:val="24"/>
          <w:szCs w:val="24"/>
        </w:rPr>
        <w:t>.</w:t>
      </w:r>
      <w:r w:rsidRPr="00D06C02">
        <w:rPr>
          <w:rFonts w:ascii="Arial" w:hAnsi="Arial" w:cs="Arial"/>
          <w:b/>
          <w:sz w:val="24"/>
          <w:szCs w:val="24"/>
        </w:rPr>
        <w:tab/>
      </w:r>
      <w:r w:rsidRPr="00D06C02">
        <w:rPr>
          <w:rFonts w:ascii="Arial" w:hAnsi="Arial" w:cs="Arial"/>
          <w:b/>
          <w:sz w:val="24"/>
          <w:szCs w:val="24"/>
        </w:rPr>
        <w:tab/>
      </w:r>
      <w:r>
        <w:rPr>
          <w:rFonts w:ascii="Arial" w:hAnsi="Arial" w:cs="Arial"/>
          <w:b/>
          <w:sz w:val="24"/>
          <w:szCs w:val="24"/>
        </w:rPr>
        <w:t>Conclusion</w:t>
      </w:r>
    </w:p>
    <w:p w14:paraId="76993771" w14:textId="30FA7868" w:rsidR="001C6CF6" w:rsidRDefault="001C6CF6" w:rsidP="00F66988">
      <w:pPr>
        <w:spacing w:after="240"/>
        <w:ind w:firstLine="720"/>
        <w:jc w:val="both"/>
        <w:rPr>
          <w:rFonts w:ascii="Arial" w:hAnsi="Arial" w:cs="Arial"/>
          <w:sz w:val="24"/>
          <w:szCs w:val="24"/>
        </w:rPr>
      </w:pPr>
      <w:r>
        <w:rPr>
          <w:rFonts w:ascii="Arial" w:hAnsi="Arial" w:cs="Arial"/>
          <w:sz w:val="24"/>
          <w:szCs w:val="24"/>
        </w:rPr>
        <w:t xml:space="preserve">That </w:t>
      </w:r>
      <w:r w:rsidR="003E5BAF">
        <w:rPr>
          <w:rFonts w:ascii="Arial" w:hAnsi="Arial" w:cs="Arial"/>
          <w:sz w:val="24"/>
          <w:szCs w:val="24"/>
        </w:rPr>
        <w:t xml:space="preserve">based </w:t>
      </w:r>
      <w:r w:rsidRPr="00187731">
        <w:rPr>
          <w:rFonts w:ascii="Arial" w:hAnsi="Arial" w:cs="Arial"/>
          <w:sz w:val="24"/>
          <w:szCs w:val="24"/>
        </w:rPr>
        <w:t>on the content of the foregoing Recitals</w:t>
      </w:r>
      <w:r>
        <w:rPr>
          <w:rFonts w:ascii="Arial" w:hAnsi="Arial" w:cs="Arial"/>
          <w:sz w:val="24"/>
          <w:szCs w:val="24"/>
        </w:rPr>
        <w:t xml:space="preserve">, </w:t>
      </w:r>
      <w:r w:rsidRPr="00187731">
        <w:rPr>
          <w:rFonts w:ascii="Arial" w:hAnsi="Arial" w:cs="Arial"/>
          <w:sz w:val="24"/>
          <w:szCs w:val="24"/>
        </w:rPr>
        <w:t xml:space="preserve">the </w:t>
      </w:r>
      <w:r>
        <w:rPr>
          <w:rFonts w:ascii="Arial" w:hAnsi="Arial" w:cs="Arial"/>
          <w:sz w:val="24"/>
          <w:szCs w:val="24"/>
        </w:rPr>
        <w:t>Substantial E</w:t>
      </w:r>
      <w:r w:rsidRPr="00187731">
        <w:rPr>
          <w:rFonts w:ascii="Arial" w:hAnsi="Arial" w:cs="Arial"/>
          <w:sz w:val="24"/>
          <w:szCs w:val="24"/>
        </w:rPr>
        <w:t>vidence</w:t>
      </w:r>
      <w:r>
        <w:rPr>
          <w:rFonts w:ascii="Arial" w:hAnsi="Arial" w:cs="Arial"/>
          <w:sz w:val="24"/>
          <w:szCs w:val="24"/>
        </w:rPr>
        <w:t xml:space="preserve"> as described hereinabove, and the </w:t>
      </w:r>
      <w:r w:rsidR="002D377A">
        <w:rPr>
          <w:rFonts w:ascii="Arial" w:hAnsi="Arial" w:cs="Arial"/>
          <w:sz w:val="24"/>
          <w:szCs w:val="24"/>
        </w:rPr>
        <w:t xml:space="preserve">reaffirmation of the </w:t>
      </w:r>
      <w:r>
        <w:rPr>
          <w:rFonts w:ascii="Arial" w:hAnsi="Arial" w:cs="Arial"/>
          <w:sz w:val="24"/>
          <w:szCs w:val="24"/>
        </w:rPr>
        <w:t>above Findings and Determinations, t</w:t>
      </w:r>
      <w:r w:rsidRPr="00187731">
        <w:rPr>
          <w:rFonts w:ascii="Arial" w:hAnsi="Arial" w:cs="Arial"/>
          <w:sz w:val="24"/>
          <w:szCs w:val="24"/>
        </w:rPr>
        <w:t xml:space="preserve">he </w:t>
      </w:r>
      <w:r>
        <w:rPr>
          <w:rFonts w:ascii="Arial" w:hAnsi="Arial" w:cs="Arial"/>
          <w:sz w:val="24"/>
          <w:szCs w:val="24"/>
        </w:rPr>
        <w:t>City Council her</w:t>
      </w:r>
      <w:r w:rsidR="002D377A">
        <w:rPr>
          <w:rFonts w:ascii="Arial" w:hAnsi="Arial" w:cs="Arial"/>
          <w:sz w:val="24"/>
          <w:szCs w:val="24"/>
        </w:rPr>
        <w:t xml:space="preserve">eby </w:t>
      </w:r>
      <w:r w:rsidR="00EA08B9">
        <w:rPr>
          <w:rFonts w:ascii="Arial" w:hAnsi="Arial" w:cs="Arial"/>
          <w:sz w:val="24"/>
          <w:szCs w:val="24"/>
        </w:rPr>
        <w:t xml:space="preserve">memorializes and </w:t>
      </w:r>
      <w:r w:rsidR="002D377A">
        <w:rPr>
          <w:rFonts w:ascii="Arial" w:hAnsi="Arial" w:cs="Arial"/>
          <w:sz w:val="24"/>
          <w:szCs w:val="24"/>
        </w:rPr>
        <w:t xml:space="preserve">reaffirms its </w:t>
      </w:r>
      <w:r>
        <w:rPr>
          <w:rFonts w:ascii="Arial" w:hAnsi="Arial" w:cs="Arial"/>
          <w:sz w:val="24"/>
          <w:szCs w:val="24"/>
        </w:rPr>
        <w:t>conclu</w:t>
      </w:r>
      <w:r w:rsidR="002D377A">
        <w:rPr>
          <w:rFonts w:ascii="Arial" w:hAnsi="Arial" w:cs="Arial"/>
          <w:sz w:val="24"/>
          <w:szCs w:val="24"/>
        </w:rPr>
        <w:t xml:space="preserve">sion </w:t>
      </w:r>
      <w:r>
        <w:rPr>
          <w:rFonts w:ascii="Arial" w:hAnsi="Arial" w:cs="Arial"/>
          <w:sz w:val="24"/>
          <w:szCs w:val="24"/>
        </w:rPr>
        <w:t xml:space="preserve">that the existing uses on </w:t>
      </w:r>
      <w:r w:rsidRPr="001F3A5C">
        <w:rPr>
          <w:rFonts w:ascii="Arial" w:hAnsi="Arial" w:cs="Arial"/>
          <w:sz w:val="24"/>
          <w:szCs w:val="24"/>
        </w:rPr>
        <w:t xml:space="preserve">the sites identified in the </w:t>
      </w:r>
      <w:r w:rsidRPr="00853BB1">
        <w:rPr>
          <w:rFonts w:ascii="Arial" w:hAnsi="Arial" w:cs="Arial"/>
          <w:sz w:val="24"/>
          <w:szCs w:val="24"/>
        </w:rPr>
        <w:t>Moreno Valley Housing Element</w:t>
      </w:r>
      <w:r>
        <w:rPr>
          <w:rFonts w:ascii="Arial" w:hAnsi="Arial" w:cs="Arial"/>
          <w:sz w:val="24"/>
          <w:szCs w:val="24"/>
        </w:rPr>
        <w:t xml:space="preserve">’s </w:t>
      </w:r>
      <w:r w:rsidRPr="001F3A5C">
        <w:rPr>
          <w:rFonts w:ascii="Arial" w:hAnsi="Arial" w:cs="Arial"/>
          <w:sz w:val="24"/>
          <w:szCs w:val="24"/>
        </w:rPr>
        <w:t xml:space="preserve">site inventory to accommodate the lower income RHNA do not constitute an impediment to additional residential development during the </w:t>
      </w:r>
      <w:r>
        <w:rPr>
          <w:rFonts w:ascii="Arial" w:hAnsi="Arial" w:cs="Arial"/>
          <w:sz w:val="24"/>
          <w:szCs w:val="24"/>
        </w:rPr>
        <w:t xml:space="preserve">2021-2029 </w:t>
      </w:r>
      <w:r w:rsidRPr="001F3A5C">
        <w:rPr>
          <w:rFonts w:ascii="Arial" w:hAnsi="Arial" w:cs="Arial"/>
          <w:sz w:val="24"/>
          <w:szCs w:val="24"/>
        </w:rPr>
        <w:t>planning period covered by the Moreno</w:t>
      </w:r>
      <w:r w:rsidRPr="00853BB1">
        <w:rPr>
          <w:rFonts w:ascii="Arial" w:hAnsi="Arial" w:cs="Arial"/>
          <w:sz w:val="24"/>
          <w:szCs w:val="24"/>
        </w:rPr>
        <w:t xml:space="preserve"> Valley Housing Element</w:t>
      </w:r>
      <w:r>
        <w:rPr>
          <w:rFonts w:ascii="Arial" w:hAnsi="Arial" w:cs="Arial"/>
          <w:sz w:val="24"/>
          <w:szCs w:val="24"/>
        </w:rPr>
        <w:t>.</w:t>
      </w:r>
    </w:p>
    <w:p w14:paraId="267E0909" w14:textId="49035A85" w:rsidR="009F3145" w:rsidRPr="00AF69A3" w:rsidRDefault="009F3145" w:rsidP="00F66988">
      <w:pPr>
        <w:pStyle w:val="BodyText"/>
        <w:spacing w:after="240"/>
        <w:ind w:right="112" w:firstLine="720"/>
        <w:jc w:val="both"/>
        <w:rPr>
          <w:b/>
          <w:bCs/>
          <w:sz w:val="24"/>
          <w:szCs w:val="24"/>
        </w:rPr>
      </w:pPr>
      <w:r w:rsidRPr="00AF69A3">
        <w:rPr>
          <w:b/>
          <w:bCs/>
          <w:sz w:val="24"/>
          <w:szCs w:val="24"/>
          <w:u w:val="single"/>
        </w:rPr>
        <w:t xml:space="preserve">Section </w:t>
      </w:r>
      <w:r w:rsidR="005C03E1">
        <w:rPr>
          <w:b/>
          <w:bCs/>
          <w:sz w:val="24"/>
          <w:szCs w:val="24"/>
          <w:u w:val="single"/>
        </w:rPr>
        <w:t>5</w:t>
      </w:r>
      <w:r w:rsidRPr="00AF69A3">
        <w:rPr>
          <w:b/>
          <w:bCs/>
          <w:sz w:val="24"/>
          <w:szCs w:val="24"/>
        </w:rPr>
        <w:t>.</w:t>
      </w:r>
      <w:r w:rsidRPr="00AF69A3">
        <w:rPr>
          <w:sz w:val="24"/>
          <w:szCs w:val="24"/>
        </w:rPr>
        <w:tab/>
      </w:r>
      <w:r w:rsidRPr="00AF69A3">
        <w:rPr>
          <w:sz w:val="24"/>
          <w:szCs w:val="24"/>
        </w:rPr>
        <w:tab/>
      </w:r>
      <w:r>
        <w:rPr>
          <w:b/>
          <w:bCs/>
          <w:sz w:val="24"/>
          <w:szCs w:val="24"/>
        </w:rPr>
        <w:t>Severability</w:t>
      </w:r>
    </w:p>
    <w:p w14:paraId="0546544A" w14:textId="77777777" w:rsidR="009F3145" w:rsidRPr="00AF69A3" w:rsidRDefault="009F3145" w:rsidP="00F66988">
      <w:pPr>
        <w:pStyle w:val="BodyText"/>
        <w:spacing w:after="240"/>
        <w:ind w:right="112" w:firstLine="720"/>
        <w:jc w:val="both"/>
        <w:rPr>
          <w:sz w:val="24"/>
          <w:szCs w:val="24"/>
        </w:rPr>
      </w:pPr>
      <w:r w:rsidRPr="00AF69A3">
        <w:rPr>
          <w:sz w:val="24"/>
          <w:szCs w:val="24"/>
        </w:rPr>
        <w:t>That the City Council declares that, should any provision, section, paragraph, sentence or word of this Resolution be rendered or declared invalid by any final court action in a court of competent jurisdiction or by reason of any preemptive legislation, the remaining provisions, sections, paragraphs, sentences or words of this Resolution as hereby adopted shall remain in full force and effect.</w:t>
      </w:r>
    </w:p>
    <w:p w14:paraId="38A33DD3" w14:textId="4823922B" w:rsidR="009F3145" w:rsidRPr="009F3145" w:rsidRDefault="009F3145" w:rsidP="00F66988">
      <w:pPr>
        <w:pStyle w:val="Heading1"/>
        <w:tabs>
          <w:tab w:val="left" w:pos="2999"/>
        </w:tabs>
        <w:spacing w:after="240"/>
        <w:ind w:left="0" w:firstLine="720"/>
      </w:pPr>
      <w:r w:rsidRPr="009F3145">
        <w:rPr>
          <w:u w:val="single"/>
        </w:rPr>
        <w:t xml:space="preserve">Section </w:t>
      </w:r>
      <w:r w:rsidR="005C03E1">
        <w:rPr>
          <w:u w:val="single"/>
        </w:rPr>
        <w:t>6</w:t>
      </w:r>
      <w:r w:rsidRPr="00AD0F3D">
        <w:t>.</w:t>
      </w:r>
      <w:r w:rsidRPr="009F3145">
        <w:tab/>
        <w:t>Effective Date</w:t>
      </w:r>
    </w:p>
    <w:p w14:paraId="1334317C" w14:textId="77777777" w:rsidR="009F3145" w:rsidRPr="009F3145" w:rsidRDefault="009F3145" w:rsidP="00F66988">
      <w:pPr>
        <w:pStyle w:val="BodyText"/>
        <w:spacing w:after="240"/>
        <w:ind w:firstLine="720"/>
        <w:rPr>
          <w:sz w:val="24"/>
          <w:szCs w:val="24"/>
        </w:rPr>
      </w:pPr>
      <w:r w:rsidRPr="009F3145">
        <w:rPr>
          <w:sz w:val="24"/>
          <w:szCs w:val="24"/>
        </w:rPr>
        <w:t>That this Resolution shall take effect immediately upon the date of adoption.</w:t>
      </w:r>
    </w:p>
    <w:p w14:paraId="44755170" w14:textId="3FBA731C" w:rsidR="009F3145" w:rsidRPr="009F3145" w:rsidRDefault="009F3145" w:rsidP="00F66988">
      <w:pPr>
        <w:pStyle w:val="Heading1"/>
        <w:tabs>
          <w:tab w:val="left" w:pos="2999"/>
        </w:tabs>
        <w:spacing w:after="240"/>
        <w:ind w:left="0" w:firstLine="720"/>
      </w:pPr>
      <w:r w:rsidRPr="009F3145">
        <w:rPr>
          <w:u w:val="single"/>
        </w:rPr>
        <w:t xml:space="preserve">Section </w:t>
      </w:r>
      <w:r w:rsidR="005C03E1">
        <w:rPr>
          <w:u w:val="single"/>
        </w:rPr>
        <w:t>7</w:t>
      </w:r>
      <w:r w:rsidRPr="009F3145">
        <w:rPr>
          <w:u w:val="single"/>
        </w:rPr>
        <w:t>.</w:t>
      </w:r>
      <w:r w:rsidRPr="009F3145">
        <w:tab/>
        <w:t>Certification.</w:t>
      </w:r>
    </w:p>
    <w:p w14:paraId="28F6E767" w14:textId="77777777" w:rsidR="009F3145" w:rsidRPr="009F3145" w:rsidRDefault="009F3145" w:rsidP="00F66988">
      <w:pPr>
        <w:spacing w:after="240"/>
        <w:ind w:firstLine="720"/>
        <w:jc w:val="both"/>
        <w:rPr>
          <w:rFonts w:ascii="Arial" w:hAnsi="Arial" w:cs="Arial"/>
          <w:sz w:val="24"/>
          <w:szCs w:val="24"/>
        </w:rPr>
      </w:pPr>
      <w:r w:rsidRPr="009F3145">
        <w:rPr>
          <w:rFonts w:ascii="Arial" w:hAnsi="Arial" w:cs="Arial"/>
          <w:sz w:val="24"/>
          <w:szCs w:val="24"/>
        </w:rPr>
        <w:t>That the City Clerk shall certify to the passage of this Resolution.</w:t>
      </w:r>
    </w:p>
    <w:p w14:paraId="60807648" w14:textId="70337B94" w:rsidR="009F3145" w:rsidRPr="009F3145" w:rsidRDefault="009F3145" w:rsidP="009F3145">
      <w:pPr>
        <w:adjustRightInd w:val="0"/>
        <w:spacing w:after="480"/>
        <w:ind w:firstLine="720"/>
        <w:jc w:val="both"/>
        <w:rPr>
          <w:rFonts w:ascii="Arial" w:eastAsia="Times New Roman" w:hAnsi="Arial" w:cs="Arial"/>
          <w:b/>
          <w:sz w:val="24"/>
          <w:szCs w:val="24"/>
        </w:rPr>
      </w:pPr>
      <w:r w:rsidRPr="009F3145">
        <w:rPr>
          <w:rFonts w:ascii="Arial" w:eastAsia="Times New Roman" w:hAnsi="Arial" w:cs="Arial"/>
          <w:b/>
          <w:bCs/>
          <w:sz w:val="24"/>
          <w:szCs w:val="24"/>
        </w:rPr>
        <w:t xml:space="preserve">PASSED AND ADOPTED THIS </w:t>
      </w:r>
      <w:r w:rsidR="009512FE">
        <w:rPr>
          <w:rFonts w:ascii="Arial" w:eastAsia="Times New Roman" w:hAnsi="Arial" w:cs="Arial"/>
          <w:b/>
          <w:bCs/>
          <w:sz w:val="24"/>
          <w:szCs w:val="24"/>
        </w:rPr>
        <w:t>4th</w:t>
      </w:r>
      <w:r w:rsidRPr="009F3145">
        <w:rPr>
          <w:rFonts w:ascii="Arial" w:eastAsia="Times New Roman" w:hAnsi="Arial" w:cs="Arial"/>
          <w:b/>
          <w:bCs/>
          <w:sz w:val="24"/>
          <w:szCs w:val="24"/>
        </w:rPr>
        <w:t xml:space="preserve"> </w:t>
      </w:r>
      <w:r w:rsidRPr="009F3145">
        <w:rPr>
          <w:rFonts w:ascii="Arial" w:eastAsia="Times New Roman" w:hAnsi="Arial" w:cs="Arial"/>
          <w:b/>
          <w:sz w:val="24"/>
          <w:szCs w:val="24"/>
        </w:rPr>
        <w:t xml:space="preserve">day of </w:t>
      </w:r>
      <w:r w:rsidR="005C03E1">
        <w:rPr>
          <w:rFonts w:ascii="Arial" w:eastAsia="Times New Roman" w:hAnsi="Arial" w:cs="Arial"/>
          <w:b/>
          <w:sz w:val="24"/>
          <w:szCs w:val="24"/>
        </w:rPr>
        <w:t>October</w:t>
      </w:r>
      <w:r w:rsidRPr="009F3145">
        <w:rPr>
          <w:rFonts w:ascii="Arial" w:eastAsia="Times New Roman" w:hAnsi="Arial" w:cs="Arial"/>
          <w:b/>
          <w:sz w:val="24"/>
          <w:szCs w:val="24"/>
        </w:rPr>
        <w:t xml:space="preserve"> 2022.</w:t>
      </w:r>
    </w:p>
    <w:p w14:paraId="3B469B79" w14:textId="7FCB21CE" w:rsidR="009F3145" w:rsidRPr="009F3145" w:rsidRDefault="009F3145" w:rsidP="00F66988">
      <w:pPr>
        <w:ind w:left="4680" w:firstLine="1"/>
        <w:jc w:val="both"/>
        <w:rPr>
          <w:rFonts w:ascii="Arial" w:eastAsia="Times New Roman" w:hAnsi="Arial" w:cs="Arial"/>
          <w:color w:val="000000"/>
          <w:sz w:val="24"/>
          <w:szCs w:val="24"/>
          <w:u w:color="000000"/>
        </w:rPr>
      </w:pPr>
      <w:r w:rsidRPr="009F3145">
        <w:rPr>
          <w:rFonts w:ascii="Arial" w:eastAsia="Times New Roman" w:hAnsi="Arial" w:cs="Arial"/>
          <w:color w:val="000000"/>
          <w:sz w:val="24"/>
          <w:szCs w:val="24"/>
          <w:u w:color="000000"/>
        </w:rPr>
        <w:t>_______________________________</w:t>
      </w:r>
      <w:r w:rsidR="00F66988">
        <w:rPr>
          <w:rFonts w:ascii="Arial" w:eastAsia="Times New Roman" w:hAnsi="Arial" w:cs="Arial"/>
          <w:color w:val="000000"/>
          <w:sz w:val="24"/>
          <w:szCs w:val="24"/>
          <w:u w:color="000000"/>
        </w:rPr>
        <w:t>____</w:t>
      </w:r>
    </w:p>
    <w:p w14:paraId="1EC73957" w14:textId="77777777" w:rsidR="009F3145" w:rsidRPr="009F3145" w:rsidRDefault="009F3145" w:rsidP="00F66988">
      <w:pPr>
        <w:ind w:left="4680" w:firstLine="1"/>
        <w:rPr>
          <w:rFonts w:ascii="Arial" w:eastAsia="Times New Roman" w:hAnsi="Arial" w:cs="Arial"/>
          <w:b/>
          <w:sz w:val="24"/>
          <w:szCs w:val="24"/>
        </w:rPr>
      </w:pPr>
      <w:r w:rsidRPr="009F3145">
        <w:rPr>
          <w:rFonts w:ascii="Arial" w:eastAsia="Times New Roman" w:hAnsi="Arial" w:cs="Arial"/>
          <w:sz w:val="24"/>
          <w:szCs w:val="24"/>
        </w:rPr>
        <w:t>Dr. Yxstian A. Gutierrez, Mayor</w:t>
      </w:r>
    </w:p>
    <w:p w14:paraId="5BEF83EA" w14:textId="77777777" w:rsidR="009F3145" w:rsidRPr="009F3145" w:rsidRDefault="009F3145" w:rsidP="009F3145">
      <w:pPr>
        <w:jc w:val="both"/>
        <w:rPr>
          <w:rFonts w:ascii="Arial" w:eastAsia="Times New Roman" w:hAnsi="Arial" w:cs="Arial"/>
          <w:b/>
          <w:bCs/>
          <w:color w:val="000000"/>
          <w:sz w:val="24"/>
          <w:szCs w:val="24"/>
          <w:u w:color="000000"/>
        </w:rPr>
      </w:pPr>
    </w:p>
    <w:p w14:paraId="0EA48286" w14:textId="77777777" w:rsidR="009F3145" w:rsidRPr="009F3145" w:rsidRDefault="009F3145" w:rsidP="009F3145">
      <w:pPr>
        <w:jc w:val="both"/>
        <w:rPr>
          <w:rFonts w:ascii="Arial" w:eastAsia="Times New Roman" w:hAnsi="Arial" w:cs="Arial"/>
          <w:color w:val="000000"/>
          <w:sz w:val="24"/>
          <w:szCs w:val="24"/>
          <w:u w:color="000000"/>
        </w:rPr>
      </w:pPr>
      <w:r w:rsidRPr="009F3145">
        <w:rPr>
          <w:rFonts w:ascii="Arial" w:eastAsia="Times New Roman" w:hAnsi="Arial" w:cs="Arial"/>
          <w:b/>
          <w:bCs/>
          <w:color w:val="000000"/>
          <w:sz w:val="24"/>
          <w:szCs w:val="24"/>
          <w:u w:color="000000"/>
        </w:rPr>
        <w:t xml:space="preserve">ATTEST: </w:t>
      </w:r>
    </w:p>
    <w:p w14:paraId="58301257" w14:textId="77777777" w:rsidR="009F3145" w:rsidRPr="009F3145" w:rsidRDefault="009F3145" w:rsidP="009F3145">
      <w:pPr>
        <w:jc w:val="both"/>
        <w:rPr>
          <w:rFonts w:ascii="Arial" w:eastAsia="Times New Roman" w:hAnsi="Arial" w:cs="Arial"/>
          <w:color w:val="000000"/>
          <w:sz w:val="24"/>
          <w:szCs w:val="24"/>
          <w:u w:color="000000"/>
        </w:rPr>
      </w:pPr>
    </w:p>
    <w:p w14:paraId="473C6E45" w14:textId="77777777" w:rsidR="009F3145" w:rsidRPr="009F3145" w:rsidRDefault="009F3145" w:rsidP="009F3145">
      <w:pPr>
        <w:jc w:val="both"/>
        <w:rPr>
          <w:rFonts w:ascii="Arial" w:eastAsia="Times New Roman" w:hAnsi="Arial" w:cs="Arial"/>
          <w:color w:val="000000"/>
          <w:sz w:val="24"/>
          <w:szCs w:val="24"/>
          <w:u w:color="000000"/>
        </w:rPr>
      </w:pPr>
    </w:p>
    <w:p w14:paraId="6E6A676D" w14:textId="77777777" w:rsidR="00F66988" w:rsidRPr="009F3145" w:rsidRDefault="00F66988" w:rsidP="00F66988">
      <w:pPr>
        <w:jc w:val="both"/>
        <w:rPr>
          <w:rFonts w:ascii="Arial" w:eastAsia="Times New Roman" w:hAnsi="Arial" w:cs="Arial"/>
          <w:color w:val="000000"/>
          <w:sz w:val="24"/>
          <w:szCs w:val="24"/>
          <w:u w:color="000000"/>
        </w:rPr>
      </w:pPr>
      <w:r w:rsidRPr="009F3145">
        <w:rPr>
          <w:rFonts w:ascii="Arial" w:eastAsia="Times New Roman" w:hAnsi="Arial" w:cs="Arial"/>
          <w:color w:val="000000"/>
          <w:sz w:val="24"/>
          <w:szCs w:val="24"/>
          <w:u w:color="000000"/>
        </w:rPr>
        <w:t>__________________________</w:t>
      </w:r>
      <w:r>
        <w:rPr>
          <w:rFonts w:ascii="Arial" w:eastAsia="Times New Roman" w:hAnsi="Arial" w:cs="Arial"/>
          <w:color w:val="000000"/>
          <w:sz w:val="24"/>
          <w:szCs w:val="24"/>
          <w:u w:color="000000"/>
        </w:rPr>
        <w:t>________</w:t>
      </w:r>
    </w:p>
    <w:p w14:paraId="0028322F" w14:textId="18C80C5E" w:rsidR="009F3145" w:rsidRPr="009F3145" w:rsidRDefault="00AD0F3D" w:rsidP="009F3145">
      <w:pPr>
        <w:jc w:val="both"/>
        <w:rPr>
          <w:rFonts w:ascii="Arial" w:eastAsia="Times New Roman" w:hAnsi="Arial" w:cs="Arial"/>
          <w:color w:val="000000"/>
          <w:sz w:val="24"/>
          <w:szCs w:val="24"/>
          <w:u w:color="000000"/>
        </w:rPr>
      </w:pPr>
      <w:r>
        <w:rPr>
          <w:rFonts w:ascii="Arial" w:eastAsia="Times New Roman" w:hAnsi="Arial" w:cs="Arial"/>
          <w:color w:val="000000"/>
          <w:sz w:val="24"/>
          <w:szCs w:val="24"/>
          <w:u w:color="000000"/>
        </w:rPr>
        <w:t>Jane Halstead</w:t>
      </w:r>
      <w:r w:rsidR="009F3145" w:rsidRPr="009F3145">
        <w:rPr>
          <w:rFonts w:ascii="Arial" w:eastAsia="Times New Roman" w:hAnsi="Arial" w:cs="Arial"/>
          <w:color w:val="000000"/>
          <w:sz w:val="24"/>
          <w:szCs w:val="24"/>
          <w:u w:color="000000"/>
        </w:rPr>
        <w:t xml:space="preserve">, City Clerk </w:t>
      </w:r>
    </w:p>
    <w:p w14:paraId="2119E10F" w14:textId="77777777" w:rsidR="009F3145" w:rsidRPr="009F3145" w:rsidRDefault="009F3145" w:rsidP="009F3145">
      <w:pPr>
        <w:jc w:val="both"/>
        <w:rPr>
          <w:rFonts w:ascii="Arial" w:eastAsia="Times New Roman" w:hAnsi="Arial" w:cs="Arial"/>
          <w:color w:val="000000"/>
          <w:sz w:val="24"/>
          <w:szCs w:val="24"/>
          <w:u w:color="000000"/>
        </w:rPr>
      </w:pPr>
    </w:p>
    <w:p w14:paraId="78DBC7D3" w14:textId="77777777" w:rsidR="009F3145" w:rsidRPr="009F3145" w:rsidRDefault="009F3145" w:rsidP="009F3145">
      <w:pPr>
        <w:jc w:val="both"/>
        <w:rPr>
          <w:rFonts w:ascii="Arial" w:eastAsia="Times New Roman" w:hAnsi="Arial" w:cs="Arial"/>
          <w:color w:val="000000"/>
          <w:sz w:val="24"/>
          <w:szCs w:val="24"/>
          <w:u w:color="000000"/>
        </w:rPr>
      </w:pPr>
    </w:p>
    <w:p w14:paraId="228DEDE7" w14:textId="77777777" w:rsidR="009F3145" w:rsidRPr="009F3145" w:rsidRDefault="009F3145" w:rsidP="009F3145">
      <w:pPr>
        <w:jc w:val="both"/>
        <w:rPr>
          <w:rFonts w:ascii="Arial" w:eastAsia="Times New Roman" w:hAnsi="Arial" w:cs="Arial"/>
          <w:b/>
          <w:bCs/>
          <w:color w:val="000000"/>
          <w:sz w:val="24"/>
          <w:szCs w:val="24"/>
          <w:u w:color="000000"/>
          <w:lang w:val="pt-PT"/>
        </w:rPr>
      </w:pPr>
      <w:r w:rsidRPr="009F3145">
        <w:rPr>
          <w:rFonts w:ascii="Arial" w:eastAsia="Times New Roman" w:hAnsi="Arial" w:cs="Arial"/>
          <w:b/>
          <w:bCs/>
          <w:color w:val="000000"/>
          <w:sz w:val="24"/>
          <w:szCs w:val="24"/>
          <w:u w:color="000000"/>
          <w:lang w:val="pt-PT"/>
        </w:rPr>
        <w:t xml:space="preserve">APPROVED AS TO FORM: </w:t>
      </w:r>
    </w:p>
    <w:p w14:paraId="39EC8153" w14:textId="77777777" w:rsidR="009F3145" w:rsidRPr="009F3145" w:rsidRDefault="009F3145" w:rsidP="009F3145">
      <w:pPr>
        <w:jc w:val="both"/>
        <w:rPr>
          <w:rFonts w:ascii="Arial" w:eastAsia="Times New Roman" w:hAnsi="Arial" w:cs="Arial"/>
          <w:color w:val="000000"/>
          <w:sz w:val="24"/>
          <w:szCs w:val="24"/>
          <w:u w:color="000000"/>
        </w:rPr>
      </w:pPr>
    </w:p>
    <w:p w14:paraId="412A0ECA" w14:textId="77777777" w:rsidR="009F3145" w:rsidRPr="009F3145" w:rsidRDefault="009F3145" w:rsidP="009F3145">
      <w:pPr>
        <w:jc w:val="both"/>
        <w:rPr>
          <w:rFonts w:ascii="Arial" w:eastAsia="Times New Roman" w:hAnsi="Arial" w:cs="Arial"/>
          <w:color w:val="000000"/>
          <w:sz w:val="24"/>
          <w:szCs w:val="24"/>
          <w:u w:color="000000"/>
        </w:rPr>
      </w:pPr>
    </w:p>
    <w:p w14:paraId="058639B9" w14:textId="24EDDD6C" w:rsidR="009F3145" w:rsidRPr="009F3145" w:rsidRDefault="009F3145" w:rsidP="009F3145">
      <w:pPr>
        <w:jc w:val="both"/>
        <w:rPr>
          <w:rFonts w:ascii="Arial" w:eastAsia="Times New Roman" w:hAnsi="Arial" w:cs="Arial"/>
          <w:color w:val="000000"/>
          <w:sz w:val="24"/>
          <w:szCs w:val="24"/>
          <w:u w:color="000000"/>
        </w:rPr>
      </w:pPr>
      <w:r w:rsidRPr="009F3145">
        <w:rPr>
          <w:rFonts w:ascii="Arial" w:eastAsia="Times New Roman" w:hAnsi="Arial" w:cs="Arial"/>
          <w:color w:val="000000"/>
          <w:sz w:val="24"/>
          <w:szCs w:val="24"/>
          <w:u w:color="000000"/>
        </w:rPr>
        <w:t>__________________________</w:t>
      </w:r>
      <w:r w:rsidR="00F66988">
        <w:rPr>
          <w:rFonts w:ascii="Arial" w:eastAsia="Times New Roman" w:hAnsi="Arial" w:cs="Arial"/>
          <w:color w:val="000000"/>
          <w:sz w:val="24"/>
          <w:szCs w:val="24"/>
          <w:u w:color="000000"/>
        </w:rPr>
        <w:t>________</w:t>
      </w:r>
    </w:p>
    <w:p w14:paraId="3662A85D" w14:textId="0961159F" w:rsidR="009F3145" w:rsidRPr="009F3145" w:rsidRDefault="009F3145" w:rsidP="005C03E1">
      <w:pPr>
        <w:spacing w:after="240"/>
        <w:jc w:val="both"/>
        <w:rPr>
          <w:rFonts w:ascii="Arial" w:hAnsi="Arial" w:cs="Arial"/>
          <w:sz w:val="24"/>
          <w:szCs w:val="24"/>
        </w:rPr>
      </w:pPr>
      <w:r w:rsidRPr="009F3145">
        <w:rPr>
          <w:rFonts w:ascii="Arial" w:eastAsia="Times New Roman" w:hAnsi="Arial" w:cs="Arial"/>
          <w:color w:val="000000"/>
          <w:sz w:val="24"/>
          <w:szCs w:val="24"/>
          <w:u w:color="000000"/>
        </w:rPr>
        <w:t>Steven B. Quintanilla, Interim City Attorney</w:t>
      </w:r>
    </w:p>
    <w:sectPr w:rsidR="009F3145" w:rsidRPr="009F3145" w:rsidSect="00F6698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8F97D" w14:textId="77777777" w:rsidR="004E1D7A" w:rsidRDefault="004E1D7A" w:rsidP="00AD0F3D">
      <w:r>
        <w:separator/>
      </w:r>
    </w:p>
  </w:endnote>
  <w:endnote w:type="continuationSeparator" w:id="0">
    <w:p w14:paraId="7516FB66" w14:textId="77777777" w:rsidR="004E1D7A" w:rsidRDefault="004E1D7A" w:rsidP="00AD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774B" w14:textId="77777777" w:rsidR="00AD0F3D" w:rsidRDefault="00AD0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BC348" w14:textId="77777777" w:rsidR="00AD0F3D" w:rsidRDefault="00AD0F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C9FA6" w14:textId="77777777" w:rsidR="00AD0F3D" w:rsidRDefault="00AD0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38712" w14:textId="77777777" w:rsidR="004E1D7A" w:rsidRDefault="004E1D7A" w:rsidP="00AD0F3D">
      <w:r>
        <w:separator/>
      </w:r>
    </w:p>
  </w:footnote>
  <w:footnote w:type="continuationSeparator" w:id="0">
    <w:p w14:paraId="25FB0838" w14:textId="77777777" w:rsidR="004E1D7A" w:rsidRDefault="004E1D7A" w:rsidP="00AD0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FF272" w14:textId="77777777" w:rsidR="00AD0F3D" w:rsidRDefault="00AD0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684F" w14:textId="6A30648C" w:rsidR="00AD0F3D" w:rsidRDefault="00AD0F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988D" w14:textId="77777777" w:rsidR="00AD0F3D" w:rsidRDefault="00AD0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F0AC7"/>
    <w:multiLevelType w:val="hybridMultilevel"/>
    <w:tmpl w:val="3684B05E"/>
    <w:lvl w:ilvl="0" w:tplc="8F705F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002CF6"/>
    <w:multiLevelType w:val="hybridMultilevel"/>
    <w:tmpl w:val="29227322"/>
    <w:lvl w:ilvl="0" w:tplc="CE80C0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97523D"/>
    <w:multiLevelType w:val="hybridMultilevel"/>
    <w:tmpl w:val="6EAE85AE"/>
    <w:lvl w:ilvl="0" w:tplc="75D871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025D25"/>
    <w:multiLevelType w:val="hybridMultilevel"/>
    <w:tmpl w:val="94728730"/>
    <w:lvl w:ilvl="0" w:tplc="E3CCB1DA">
      <w:start w:val="1"/>
      <w:numFmt w:val="lowerLetter"/>
      <w:lvlText w:val="(%1)"/>
      <w:lvlJc w:val="left"/>
      <w:pPr>
        <w:ind w:left="1163" w:hanging="443"/>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8195183">
    <w:abstractNumId w:val="1"/>
  </w:num>
  <w:num w:numId="2" w16cid:durableId="1349452557">
    <w:abstractNumId w:val="0"/>
  </w:num>
  <w:num w:numId="3" w16cid:durableId="1191410230">
    <w:abstractNumId w:val="2"/>
  </w:num>
  <w:num w:numId="4" w16cid:durableId="219678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9D2"/>
    <w:rsid w:val="000171BA"/>
    <w:rsid w:val="001C6CF6"/>
    <w:rsid w:val="001E6871"/>
    <w:rsid w:val="001F3A5C"/>
    <w:rsid w:val="002060E3"/>
    <w:rsid w:val="002C5A80"/>
    <w:rsid w:val="002D377A"/>
    <w:rsid w:val="002E3F49"/>
    <w:rsid w:val="00300AB7"/>
    <w:rsid w:val="00372EB2"/>
    <w:rsid w:val="003E5BAF"/>
    <w:rsid w:val="004E1D7A"/>
    <w:rsid w:val="0052747F"/>
    <w:rsid w:val="00582327"/>
    <w:rsid w:val="005B29D2"/>
    <w:rsid w:val="005B5010"/>
    <w:rsid w:val="005C03E1"/>
    <w:rsid w:val="00642542"/>
    <w:rsid w:val="007E0B06"/>
    <w:rsid w:val="00853BB1"/>
    <w:rsid w:val="008C010A"/>
    <w:rsid w:val="008F11C5"/>
    <w:rsid w:val="009444B1"/>
    <w:rsid w:val="009512FE"/>
    <w:rsid w:val="00992864"/>
    <w:rsid w:val="009A4DE0"/>
    <w:rsid w:val="009B6496"/>
    <w:rsid w:val="009F3145"/>
    <w:rsid w:val="00A15C47"/>
    <w:rsid w:val="00A72BB6"/>
    <w:rsid w:val="00A87994"/>
    <w:rsid w:val="00AD0F3D"/>
    <w:rsid w:val="00C16BBE"/>
    <w:rsid w:val="00C2199D"/>
    <w:rsid w:val="00D14B6C"/>
    <w:rsid w:val="00D4770E"/>
    <w:rsid w:val="00D62E6A"/>
    <w:rsid w:val="00EA08B9"/>
    <w:rsid w:val="00F25348"/>
    <w:rsid w:val="00F6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6671F"/>
  <w15:chartTrackingRefBased/>
  <w15:docId w15:val="{E5A3F0C9-2913-4572-BB70-82E78582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9D2"/>
    <w:pPr>
      <w:spacing w:after="0" w:line="240" w:lineRule="auto"/>
    </w:pPr>
    <w:rPr>
      <w:rFonts w:ascii="Calibri" w:hAnsi="Calibri" w:cs="Calibri"/>
    </w:rPr>
  </w:style>
  <w:style w:type="paragraph" w:styleId="Heading1">
    <w:name w:val="heading 1"/>
    <w:basedOn w:val="Normal"/>
    <w:link w:val="Heading1Char"/>
    <w:uiPriority w:val="9"/>
    <w:qFormat/>
    <w:rsid w:val="009F3145"/>
    <w:pPr>
      <w:widowControl w:val="0"/>
      <w:autoSpaceDE w:val="0"/>
      <w:autoSpaceDN w:val="0"/>
      <w:ind w:left="840"/>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145"/>
    <w:rPr>
      <w:rFonts w:ascii="Arial" w:eastAsia="Times New Roman" w:hAnsi="Arial" w:cs="Arial"/>
      <w:b/>
      <w:bCs/>
      <w:sz w:val="24"/>
      <w:szCs w:val="24"/>
    </w:rPr>
  </w:style>
  <w:style w:type="paragraph" w:styleId="BodyText">
    <w:name w:val="Body Text"/>
    <w:basedOn w:val="Normal"/>
    <w:link w:val="BodyTextChar"/>
    <w:uiPriority w:val="1"/>
    <w:qFormat/>
    <w:rsid w:val="009F3145"/>
    <w:pPr>
      <w:widowControl w:val="0"/>
      <w:autoSpaceDE w:val="0"/>
      <w:autoSpaceDN w:val="0"/>
    </w:pPr>
    <w:rPr>
      <w:rFonts w:ascii="Arial" w:eastAsia="Arial" w:hAnsi="Arial" w:cs="Arial"/>
      <w:sz w:val="21"/>
      <w:szCs w:val="21"/>
    </w:rPr>
  </w:style>
  <w:style w:type="character" w:customStyle="1" w:styleId="BodyTextChar">
    <w:name w:val="Body Text Char"/>
    <w:basedOn w:val="DefaultParagraphFont"/>
    <w:link w:val="BodyText"/>
    <w:uiPriority w:val="1"/>
    <w:rsid w:val="009F3145"/>
    <w:rPr>
      <w:rFonts w:ascii="Arial" w:eastAsia="Arial" w:hAnsi="Arial" w:cs="Arial"/>
      <w:sz w:val="21"/>
      <w:szCs w:val="21"/>
    </w:rPr>
  </w:style>
  <w:style w:type="paragraph" w:styleId="Header">
    <w:name w:val="header"/>
    <w:basedOn w:val="Normal"/>
    <w:link w:val="HeaderChar"/>
    <w:uiPriority w:val="99"/>
    <w:unhideWhenUsed/>
    <w:rsid w:val="00AD0F3D"/>
    <w:pPr>
      <w:tabs>
        <w:tab w:val="center" w:pos="4680"/>
        <w:tab w:val="right" w:pos="9360"/>
      </w:tabs>
    </w:pPr>
  </w:style>
  <w:style w:type="character" w:customStyle="1" w:styleId="HeaderChar">
    <w:name w:val="Header Char"/>
    <w:basedOn w:val="DefaultParagraphFont"/>
    <w:link w:val="Header"/>
    <w:uiPriority w:val="99"/>
    <w:rsid w:val="00AD0F3D"/>
    <w:rPr>
      <w:rFonts w:ascii="Calibri" w:hAnsi="Calibri" w:cs="Calibri"/>
    </w:rPr>
  </w:style>
  <w:style w:type="paragraph" w:styleId="Footer">
    <w:name w:val="footer"/>
    <w:basedOn w:val="Normal"/>
    <w:link w:val="FooterChar"/>
    <w:uiPriority w:val="99"/>
    <w:unhideWhenUsed/>
    <w:rsid w:val="00AD0F3D"/>
    <w:pPr>
      <w:tabs>
        <w:tab w:val="center" w:pos="4680"/>
        <w:tab w:val="right" w:pos="9360"/>
      </w:tabs>
    </w:pPr>
  </w:style>
  <w:style w:type="character" w:customStyle="1" w:styleId="FooterChar">
    <w:name w:val="Footer Char"/>
    <w:basedOn w:val="DefaultParagraphFont"/>
    <w:link w:val="Footer"/>
    <w:uiPriority w:val="99"/>
    <w:rsid w:val="00AD0F3D"/>
    <w:rPr>
      <w:rFonts w:ascii="Calibri" w:hAnsi="Calibri" w:cs="Calibri"/>
    </w:rPr>
  </w:style>
  <w:style w:type="paragraph" w:styleId="ListParagraph">
    <w:name w:val="List Paragraph"/>
    <w:basedOn w:val="Normal"/>
    <w:uiPriority w:val="34"/>
    <w:qFormat/>
    <w:rsid w:val="003E5B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216586">
      <w:bodyDiv w:val="1"/>
      <w:marLeft w:val="0"/>
      <w:marRight w:val="0"/>
      <w:marTop w:val="0"/>
      <w:marBottom w:val="0"/>
      <w:divBdr>
        <w:top w:val="none" w:sz="0" w:space="0" w:color="auto"/>
        <w:left w:val="none" w:sz="0" w:space="0" w:color="auto"/>
        <w:bottom w:val="none" w:sz="0" w:space="0" w:color="auto"/>
        <w:right w:val="none" w:sz="0" w:space="0" w:color="auto"/>
      </w:divBdr>
    </w:div>
    <w:div w:id="1375348249">
      <w:bodyDiv w:val="1"/>
      <w:marLeft w:val="0"/>
      <w:marRight w:val="0"/>
      <w:marTop w:val="0"/>
      <w:marBottom w:val="0"/>
      <w:divBdr>
        <w:top w:val="none" w:sz="0" w:space="0" w:color="auto"/>
        <w:left w:val="none" w:sz="0" w:space="0" w:color="auto"/>
        <w:bottom w:val="none" w:sz="0" w:space="0" w:color="auto"/>
        <w:right w:val="none" w:sz="0" w:space="0" w:color="auto"/>
      </w:divBdr>
    </w:div>
    <w:div w:id="197690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8D77B-DE12-4749-85CB-6E48D04EF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Steveq@qalawyers.com</dc:creator>
  <cp:keywords/>
  <dc:description/>
  <cp:lastModifiedBy>Jane Halstead</cp:lastModifiedBy>
  <cp:revision>5</cp:revision>
  <cp:lastPrinted>2022-09-28T00:06:00Z</cp:lastPrinted>
  <dcterms:created xsi:type="dcterms:W3CDTF">2022-09-28T16:34:00Z</dcterms:created>
  <dcterms:modified xsi:type="dcterms:W3CDTF">2022-10-04T23:41:00Z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bffe4fa251b8abd5b685444d2a4f143af9c3940006d22b7198b265632d2915af</vt:lpwstr>
  </property>
</Properties>
</file>